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23E413">
      <w:pPr>
        <w:widowControl w:val="0"/>
        <w:spacing w:line="560" w:lineRule="exact"/>
        <w:jc w:val="center"/>
        <w:rPr>
          <w:rFonts w:hint="default" w:ascii="Times New Roman" w:hAnsi="Times New Roman" w:eastAsia="方正小标宋简体" w:cs="Times New Roman"/>
          <w:b w:val="0"/>
          <w:bCs w:val="0"/>
          <w:color w:val="auto"/>
          <w:sz w:val="44"/>
          <w:szCs w:val="44"/>
          <w:highlight w:val="none"/>
          <w:u w:val="none"/>
        </w:rPr>
      </w:pPr>
      <w:r>
        <w:rPr>
          <w:rFonts w:hint="default" w:ascii="Times New Roman" w:hAnsi="Times New Roman" w:eastAsia="方正小标宋简体" w:cs="Times New Roman"/>
          <w:b w:val="0"/>
          <w:bCs w:val="0"/>
          <w:color w:val="auto"/>
          <w:sz w:val="44"/>
          <w:szCs w:val="44"/>
          <w:highlight w:val="none"/>
          <w:u w:val="none"/>
        </w:rPr>
        <w:t>黑龙江省金融开放招商若干政策措施</w:t>
      </w:r>
    </w:p>
    <w:p w14:paraId="0DDE90FC">
      <w:pPr>
        <w:widowControl w:val="0"/>
        <w:spacing w:line="560" w:lineRule="exact"/>
        <w:jc w:val="center"/>
        <w:rPr>
          <w:rFonts w:hint="default" w:ascii="Times New Roman" w:hAnsi="Times New Roman" w:eastAsia="方正小标宋简体" w:cs="Times New Roman"/>
          <w:b w:val="0"/>
          <w:bCs w:val="0"/>
          <w:color w:val="auto"/>
          <w:sz w:val="44"/>
          <w:szCs w:val="44"/>
          <w:highlight w:val="none"/>
          <w:u w:val="none"/>
        </w:rPr>
      </w:pPr>
      <w:r>
        <w:rPr>
          <w:rFonts w:hint="default" w:ascii="Times New Roman" w:hAnsi="Times New Roman" w:cs="Times New Roman"/>
          <w:b w:val="0"/>
          <w:bCs w:val="0"/>
          <w:color w:val="auto"/>
          <w:sz w:val="32"/>
          <w:szCs w:val="32"/>
          <w:highlight w:val="none"/>
          <w:u w:val="none"/>
          <w:lang w:val="en-US" w:eastAsia="zh-CN"/>
        </w:rPr>
        <w:t>（</w:t>
      </w:r>
      <w:r>
        <w:rPr>
          <w:rFonts w:hint="eastAsia" w:ascii="Times New Roman" w:hAnsi="Times New Roman" w:cs="Times New Roman"/>
          <w:b w:val="0"/>
          <w:bCs w:val="0"/>
          <w:color w:val="auto"/>
          <w:sz w:val="32"/>
          <w:szCs w:val="32"/>
          <w:highlight w:val="none"/>
          <w:u w:val="none"/>
          <w:lang w:val="en-US" w:eastAsia="zh-CN"/>
        </w:rPr>
        <w:t>公开</w:t>
      </w:r>
      <w:r>
        <w:rPr>
          <w:rFonts w:hint="default" w:ascii="Times New Roman" w:hAnsi="Times New Roman" w:eastAsia="仿宋_GB2312" w:cs="Times New Roman"/>
          <w:b w:val="0"/>
          <w:bCs w:val="0"/>
          <w:color w:val="auto"/>
          <w:sz w:val="32"/>
          <w:szCs w:val="32"/>
          <w:highlight w:val="none"/>
          <w:u w:val="none"/>
          <w:lang w:val="en-US" w:eastAsia="zh-CN"/>
        </w:rPr>
        <w:t>征求意见稿</w:t>
      </w:r>
      <w:r>
        <w:rPr>
          <w:rFonts w:hint="default" w:ascii="Times New Roman" w:hAnsi="Times New Roman" w:cs="Times New Roman"/>
          <w:b w:val="0"/>
          <w:bCs w:val="0"/>
          <w:color w:val="auto"/>
          <w:sz w:val="32"/>
          <w:szCs w:val="32"/>
          <w:highlight w:val="none"/>
          <w:u w:val="none"/>
          <w:lang w:val="en-US" w:eastAsia="zh-CN"/>
        </w:rPr>
        <w:t>）</w:t>
      </w:r>
    </w:p>
    <w:p w14:paraId="01ED6EC6">
      <w:pPr>
        <w:pStyle w:val="2"/>
        <w:spacing w:line="560" w:lineRule="exact"/>
        <w:ind w:left="0" w:leftChars="0"/>
        <w:rPr>
          <w:rFonts w:hint="default" w:ascii="Times New Roman" w:hAnsi="Times New Roman" w:cs="Times New Roman"/>
          <w:color w:val="auto"/>
          <w:highlight w:val="none"/>
          <w:u w:val="none"/>
        </w:rPr>
      </w:pPr>
    </w:p>
    <w:p w14:paraId="459D966B">
      <w:pPr>
        <w:widowControl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eastAsia="zh-CN"/>
        </w:rPr>
        <w:t>为全面贯彻落实党的二十大和习近平总书记重要讲话重要指示精神，坚持把高质量发展作为首要任务，</w:t>
      </w:r>
      <w:r>
        <w:rPr>
          <w:rFonts w:hint="default" w:ascii="Times New Roman" w:hAnsi="Times New Roman" w:eastAsia="仿宋_GB2312" w:cs="Times New Roman"/>
          <w:b w:val="0"/>
          <w:bCs w:val="0"/>
          <w:color w:val="auto"/>
          <w:highlight w:val="none"/>
          <w:u w:val="none"/>
        </w:rPr>
        <w:t>充分发挥金融招商对聚集金融产业资源、壮大金融产业规模、增强金融供给和创新能力的重要作用，完整、准确、全面贯彻新发展理念，全面提升招商引资工作质效</w:t>
      </w:r>
      <w:r>
        <w:rPr>
          <w:rFonts w:hint="default" w:ascii="Times New Roman" w:hAnsi="Times New Roman" w:cs="Times New Roman"/>
          <w:b w:val="0"/>
          <w:bCs w:val="0"/>
          <w:color w:val="auto"/>
          <w:highlight w:val="none"/>
          <w:u w:val="none"/>
          <w:lang w:eastAsia="zh-CN"/>
        </w:rPr>
        <w:t>，推</w:t>
      </w:r>
      <w:r>
        <w:rPr>
          <w:rFonts w:hint="default" w:ascii="Times New Roman" w:hAnsi="Times New Roman" w:eastAsia="仿宋_GB2312" w:cs="Times New Roman"/>
          <w:b w:val="0"/>
          <w:bCs w:val="0"/>
          <w:color w:val="auto"/>
          <w:highlight w:val="none"/>
          <w:u w:val="none"/>
        </w:rPr>
        <w:t>动</w:t>
      </w:r>
      <w:r>
        <w:rPr>
          <w:rFonts w:hint="default" w:ascii="Times New Roman" w:hAnsi="Times New Roman" w:cs="Times New Roman"/>
          <w:b w:val="0"/>
          <w:bCs w:val="0"/>
          <w:color w:val="auto"/>
          <w:highlight w:val="none"/>
          <w:u w:val="none"/>
          <w:lang w:eastAsia="zh-CN"/>
        </w:rPr>
        <w:t>黑龙江</w:t>
      </w:r>
      <w:r>
        <w:rPr>
          <w:rFonts w:hint="default" w:ascii="Times New Roman" w:hAnsi="Times New Roman" w:eastAsia="仿宋_GB2312" w:cs="Times New Roman"/>
          <w:b w:val="0"/>
          <w:bCs w:val="0"/>
          <w:color w:val="auto"/>
          <w:highlight w:val="none"/>
          <w:u w:val="none"/>
        </w:rPr>
        <w:t>振兴发展取得新突破，加快建设“六个龙江”、推进“八个振兴”，制定如下政策措施。</w:t>
      </w:r>
    </w:p>
    <w:p w14:paraId="069BCA55">
      <w:pPr>
        <w:widowControl w:val="0"/>
        <w:spacing w:line="540" w:lineRule="exact"/>
        <w:ind w:firstLine="632" w:firstLineChars="200"/>
        <w:rPr>
          <w:rFonts w:hint="default" w:ascii="Times New Roman" w:hAnsi="Times New Roman" w:eastAsia="黑体" w:cs="Times New Roman"/>
          <w:b w:val="0"/>
          <w:bCs w:val="0"/>
          <w:color w:val="auto"/>
          <w:highlight w:val="none"/>
          <w:u w:val="none"/>
        </w:rPr>
      </w:pPr>
      <w:r>
        <w:rPr>
          <w:rFonts w:hint="default" w:ascii="Times New Roman" w:hAnsi="Times New Roman" w:eastAsia="黑体" w:cs="Times New Roman"/>
          <w:b w:val="0"/>
          <w:bCs w:val="0"/>
          <w:color w:val="auto"/>
          <w:highlight w:val="none"/>
          <w:u w:val="none"/>
        </w:rPr>
        <w:t>一、鼓励引进各类金融主体</w:t>
      </w:r>
    </w:p>
    <w:p w14:paraId="2F9B1BDC">
      <w:pPr>
        <w:widowControl w:val="0"/>
        <w:spacing w:line="540" w:lineRule="exact"/>
        <w:ind w:firstLine="632" w:firstLineChars="200"/>
        <w:rPr>
          <w:rFonts w:hint="default" w:ascii="Times New Roman" w:hAnsi="Times New Roman" w:eastAsia="楷体_GB2312" w:cs="Times New Roman"/>
          <w:b w:val="0"/>
          <w:bCs w:val="0"/>
          <w:color w:val="auto"/>
          <w:highlight w:val="none"/>
          <w:u w:val="none"/>
        </w:rPr>
      </w:pPr>
      <w:r>
        <w:rPr>
          <w:rFonts w:hint="default" w:ascii="Times New Roman" w:hAnsi="Times New Roman" w:eastAsia="楷体_GB2312" w:cs="Times New Roman"/>
          <w:b w:val="0"/>
          <w:bCs w:val="0"/>
          <w:color w:val="auto"/>
          <w:highlight w:val="none"/>
          <w:u w:val="none"/>
        </w:rPr>
        <w:t>（一）法人金融机构总部。</w:t>
      </w:r>
    </w:p>
    <w:p w14:paraId="719BD0DA">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1.新设立、新迁入的法人金融机构总部，省市财政按其实缴资本规模（扣除省内资金出资额后）的3%给予一次性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最高1.5亿元。</w:t>
      </w:r>
    </w:p>
    <w:p w14:paraId="09FF3A41">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2.新设立、新迁入的股权投资企业</w:t>
      </w:r>
      <w:r>
        <w:rPr>
          <w:rFonts w:hint="default" w:ascii="Times New Roman" w:hAnsi="Times New Roman" w:cs="Times New Roman"/>
          <w:b w:val="0"/>
          <w:bCs w:val="0"/>
          <w:color w:val="auto"/>
          <w:highlight w:val="none"/>
          <w:u w:val="none"/>
          <w:lang w:eastAsia="zh-CN"/>
        </w:rPr>
        <w:t>（含私募股权投资基金，下同）</w:t>
      </w:r>
      <w:r>
        <w:rPr>
          <w:rFonts w:hint="default" w:ascii="Times New Roman" w:hAnsi="Times New Roman" w:eastAsia="仿宋_GB2312" w:cs="Times New Roman"/>
          <w:b w:val="0"/>
          <w:bCs w:val="0"/>
          <w:color w:val="auto"/>
          <w:highlight w:val="none"/>
          <w:u w:val="none"/>
        </w:rPr>
        <w:t>，在股权投资企业完成对我省项目首次投资后，省市财政按其实缴资本或实缴出资额（扣除省内资金出资额后）的1%给予一次性奖励，叠加奖励最高1500万元。</w:t>
      </w:r>
    </w:p>
    <w:p w14:paraId="4EA10E49">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3.</w:t>
      </w:r>
      <w:r>
        <w:rPr>
          <w:rFonts w:hint="default" w:ascii="Times New Roman" w:hAnsi="Times New Roman" w:cs="Times New Roman"/>
          <w:b w:val="0"/>
          <w:bCs w:val="0"/>
          <w:color w:val="auto"/>
          <w:highlight w:val="none"/>
          <w:u w:val="none"/>
          <w:lang w:eastAsia="zh-CN"/>
        </w:rPr>
        <w:t>私募股权投资基金管理机构实际管理规模达</w:t>
      </w:r>
      <w:r>
        <w:rPr>
          <w:rFonts w:hint="default" w:ascii="Times New Roman" w:hAnsi="Times New Roman" w:cs="Times New Roman"/>
          <w:b w:val="0"/>
          <w:bCs w:val="0"/>
          <w:color w:val="auto"/>
          <w:highlight w:val="none"/>
          <w:u w:val="none"/>
          <w:lang w:val="en-US" w:eastAsia="zh-CN"/>
        </w:rPr>
        <w:t>50亿元</w:t>
      </w:r>
      <w:r>
        <w:rPr>
          <w:rFonts w:hint="default" w:ascii="Times New Roman" w:hAnsi="Times New Roman" w:eastAsia="仿宋_GB2312" w:cs="Times New Roman"/>
          <w:b w:val="0"/>
          <w:bCs w:val="0"/>
          <w:color w:val="auto"/>
          <w:highlight w:val="none"/>
          <w:u w:val="none"/>
        </w:rPr>
        <w:t>（或等值外币</w:t>
      </w:r>
      <w:r>
        <w:rPr>
          <w:rFonts w:hint="default" w:ascii="Times New Roman" w:hAnsi="Times New Roman" w:cs="Times New Roman"/>
          <w:b w:val="0"/>
          <w:bCs w:val="0"/>
          <w:color w:val="auto"/>
          <w:highlight w:val="none"/>
          <w:u w:val="none"/>
          <w:lang w:eastAsia="zh-CN"/>
        </w:rPr>
        <w:t>，含</w:t>
      </w:r>
      <w:r>
        <w:rPr>
          <w:rFonts w:hint="default" w:ascii="Times New Roman" w:hAnsi="Times New Roman" w:cs="Times New Roman"/>
          <w:b w:val="0"/>
          <w:bCs w:val="0"/>
          <w:color w:val="auto"/>
          <w:highlight w:val="none"/>
          <w:u w:val="none"/>
          <w:lang w:val="en-US" w:eastAsia="zh-CN"/>
        </w:rPr>
        <w:t>50亿元</w:t>
      </w:r>
      <w:r>
        <w:rPr>
          <w:rFonts w:hint="default" w:ascii="Times New Roman" w:hAnsi="Times New Roman" w:eastAsia="仿宋_GB2312" w:cs="Times New Roman"/>
          <w:b w:val="0"/>
          <w:bCs w:val="0"/>
          <w:color w:val="auto"/>
          <w:highlight w:val="none"/>
          <w:u w:val="none"/>
        </w:rPr>
        <w:t>）</w:t>
      </w:r>
      <w:r>
        <w:rPr>
          <w:rFonts w:hint="default" w:ascii="Times New Roman" w:hAnsi="Times New Roman" w:cs="Times New Roman"/>
          <w:b w:val="0"/>
          <w:bCs w:val="0"/>
          <w:color w:val="auto"/>
          <w:highlight w:val="none"/>
          <w:u w:val="none"/>
          <w:lang w:eastAsia="zh-CN"/>
        </w:rPr>
        <w:t>以上的，机构</w:t>
      </w:r>
      <w:r>
        <w:rPr>
          <w:rFonts w:hint="default" w:ascii="Times New Roman" w:hAnsi="Times New Roman" w:eastAsia="仿宋_GB2312" w:cs="Times New Roman"/>
          <w:b w:val="0"/>
          <w:bCs w:val="0"/>
          <w:color w:val="auto"/>
          <w:highlight w:val="none"/>
          <w:u w:val="none"/>
        </w:rPr>
        <w:t>总部或二级</w:t>
      </w:r>
      <w:r>
        <w:rPr>
          <w:rFonts w:hint="default" w:ascii="Times New Roman" w:hAnsi="Times New Roman" w:cs="Times New Roman"/>
          <w:b w:val="0"/>
          <w:bCs w:val="0"/>
          <w:color w:val="auto"/>
          <w:highlight w:val="none"/>
          <w:u w:val="none"/>
          <w:lang w:eastAsia="zh-CN"/>
        </w:rPr>
        <w:t>公司新设立、新迁入我省的，</w:t>
      </w:r>
      <w:r>
        <w:rPr>
          <w:rFonts w:hint="default" w:ascii="Times New Roman" w:hAnsi="Times New Roman" w:eastAsia="仿宋_GB2312" w:cs="Times New Roman"/>
          <w:b w:val="0"/>
          <w:bCs w:val="0"/>
          <w:color w:val="auto"/>
          <w:highlight w:val="none"/>
          <w:u w:val="none"/>
        </w:rPr>
        <w:t>在</w:t>
      </w:r>
      <w:r>
        <w:rPr>
          <w:rFonts w:hint="default" w:ascii="Times New Roman" w:hAnsi="Times New Roman" w:cs="Times New Roman"/>
          <w:b w:val="0"/>
          <w:bCs w:val="0"/>
          <w:color w:val="auto"/>
          <w:highlight w:val="none"/>
          <w:u w:val="none"/>
          <w:lang w:eastAsia="zh-CN"/>
        </w:rPr>
        <w:t>私募股权投资</w:t>
      </w:r>
      <w:r>
        <w:rPr>
          <w:rFonts w:hint="default" w:ascii="Times New Roman" w:hAnsi="Times New Roman" w:eastAsia="仿宋_GB2312" w:cs="Times New Roman"/>
          <w:b w:val="0"/>
          <w:bCs w:val="0"/>
          <w:color w:val="auto"/>
          <w:highlight w:val="none"/>
          <w:u w:val="none"/>
        </w:rPr>
        <w:t>基金完成对我省项目首次投资后，省市财政叠加奖励</w:t>
      </w:r>
      <w:r>
        <w:rPr>
          <w:rFonts w:hint="default" w:ascii="Times New Roman" w:hAnsi="Times New Roman" w:cs="Times New Roman"/>
          <w:b w:val="0"/>
          <w:bCs w:val="0"/>
          <w:color w:val="auto"/>
          <w:highlight w:val="none"/>
          <w:u w:val="none"/>
          <w:lang w:eastAsia="zh-CN"/>
        </w:rPr>
        <w:t>最高</w:t>
      </w:r>
      <w:r>
        <w:rPr>
          <w:rFonts w:hint="default" w:ascii="Times New Roman" w:hAnsi="Times New Roman" w:eastAsia="仿宋_GB2312" w:cs="Times New Roman"/>
          <w:b w:val="0"/>
          <w:bCs w:val="0"/>
          <w:color w:val="auto"/>
          <w:highlight w:val="none"/>
          <w:u w:val="none"/>
        </w:rPr>
        <w:t>300万元。</w:t>
      </w:r>
    </w:p>
    <w:p w14:paraId="54F42EA8">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4</w:t>
      </w:r>
      <w:r>
        <w:rPr>
          <w:rFonts w:hint="default" w:ascii="Times New Roman" w:hAnsi="Times New Roman" w:eastAsia="仿宋_GB2312" w:cs="Times New Roman"/>
          <w:b w:val="0"/>
          <w:bCs w:val="0"/>
          <w:color w:val="auto"/>
          <w:highlight w:val="none"/>
          <w:u w:val="none"/>
        </w:rPr>
        <w:t>.国家级母基金出资2亿元及以上在我省</w:t>
      </w:r>
      <w:r>
        <w:rPr>
          <w:rFonts w:hint="default" w:ascii="Times New Roman" w:hAnsi="Times New Roman" w:cs="Times New Roman"/>
          <w:b w:val="0"/>
          <w:bCs w:val="0"/>
          <w:color w:val="auto"/>
          <w:highlight w:val="none"/>
          <w:u w:val="none"/>
          <w:lang w:eastAsia="zh-CN"/>
        </w:rPr>
        <w:t>新</w:t>
      </w:r>
      <w:r>
        <w:rPr>
          <w:rFonts w:hint="default" w:ascii="Times New Roman" w:hAnsi="Times New Roman" w:eastAsia="仿宋_GB2312" w:cs="Times New Roman"/>
          <w:b w:val="0"/>
          <w:bCs w:val="0"/>
          <w:color w:val="auto"/>
          <w:highlight w:val="none"/>
          <w:u w:val="none"/>
        </w:rPr>
        <w:t>设立子基金</w:t>
      </w:r>
      <w:r>
        <w:rPr>
          <w:rFonts w:hint="default" w:ascii="Times New Roman" w:hAnsi="Times New Roman" w:cs="Times New Roman"/>
          <w:b w:val="0"/>
          <w:bCs w:val="0"/>
          <w:color w:val="auto"/>
          <w:highlight w:val="none"/>
          <w:u w:val="none"/>
          <w:lang w:eastAsia="zh-CN"/>
        </w:rPr>
        <w:t>并完成</w:t>
      </w:r>
      <w:r>
        <w:rPr>
          <w:rFonts w:hint="default" w:ascii="Times New Roman" w:hAnsi="Times New Roman" w:eastAsia="仿宋_GB2312" w:cs="Times New Roman"/>
          <w:b w:val="0"/>
          <w:bCs w:val="0"/>
          <w:color w:val="auto"/>
          <w:highlight w:val="none"/>
          <w:u w:val="none"/>
        </w:rPr>
        <w:t>首次投资后</w:t>
      </w:r>
      <w:r>
        <w:rPr>
          <w:rFonts w:hint="default" w:ascii="Times New Roman" w:hAnsi="Times New Roman"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rPr>
        <w:t>省市财政给予国家级母基金管理机构一次性奖励</w:t>
      </w:r>
      <w:r>
        <w:rPr>
          <w:rFonts w:hint="default" w:ascii="Times New Roman" w:hAnsi="Times New Roman" w:cs="Times New Roman"/>
          <w:b w:val="0"/>
          <w:bCs w:val="0"/>
          <w:color w:val="auto"/>
          <w:highlight w:val="none"/>
          <w:u w:val="none"/>
          <w:lang w:eastAsia="zh-CN"/>
        </w:rPr>
        <w:t>，叠加奖励最高</w:t>
      </w:r>
      <w:r>
        <w:rPr>
          <w:rFonts w:hint="default" w:ascii="Times New Roman" w:hAnsi="Times New Roman" w:eastAsia="仿宋_GB2312" w:cs="Times New Roman"/>
          <w:b w:val="0"/>
          <w:bCs w:val="0"/>
          <w:color w:val="auto"/>
          <w:highlight w:val="none"/>
          <w:u w:val="none"/>
        </w:rPr>
        <w:t>200万元。</w:t>
      </w:r>
    </w:p>
    <w:p w14:paraId="1EBC6FB4">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5.</w:t>
      </w:r>
      <w:r>
        <w:rPr>
          <w:rFonts w:hint="default" w:ascii="Times New Roman" w:hAnsi="Times New Roman" w:eastAsia="仿宋_GB2312" w:cs="Times New Roman"/>
          <w:b w:val="0"/>
          <w:bCs w:val="0"/>
          <w:color w:val="auto"/>
          <w:highlight w:val="none"/>
          <w:u w:val="none"/>
        </w:rPr>
        <w:t>鼓励省内法人金融机构、股权投资类企业引战增资。对实现增资扩股的，省市财政按其新增实缴资本（扣除省内资金出资额后）的</w:t>
      </w:r>
      <w:r>
        <w:rPr>
          <w:rFonts w:hint="default" w:ascii="Times New Roman" w:hAnsi="Times New Roman" w:cs="Times New Roman"/>
          <w:b w:val="0"/>
          <w:bCs w:val="0"/>
          <w:color w:val="auto"/>
          <w:highlight w:val="none"/>
          <w:u w:val="none"/>
          <w:lang w:eastAsia="zh-CN"/>
        </w:rPr>
        <w:t>1</w:t>
      </w:r>
      <w:r>
        <w:rPr>
          <w:rFonts w:hint="default" w:ascii="Times New Roman" w:hAnsi="Times New Roman" w:eastAsia="仿宋_GB2312" w:cs="Times New Roman"/>
          <w:b w:val="0"/>
          <w:bCs w:val="0"/>
          <w:color w:val="auto"/>
          <w:highlight w:val="none"/>
          <w:u w:val="none"/>
        </w:rPr>
        <w:t>%给予一次性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最高1000万元。</w:t>
      </w:r>
    </w:p>
    <w:p w14:paraId="4C72C852">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6</w:t>
      </w:r>
      <w:r>
        <w:rPr>
          <w:rFonts w:hint="default" w:ascii="Times New Roman" w:hAnsi="Times New Roman" w:eastAsia="仿宋_GB2312" w:cs="Times New Roman"/>
          <w:b w:val="0"/>
          <w:bCs w:val="0"/>
          <w:color w:val="auto"/>
          <w:highlight w:val="none"/>
          <w:u w:val="none"/>
        </w:rPr>
        <w:t>.鼓励省内法人金融机构</w:t>
      </w:r>
      <w:r>
        <w:rPr>
          <w:rFonts w:hint="default" w:ascii="Times New Roman" w:hAnsi="Times New Roman" w:eastAsia="仿宋_GB2312" w:cs="Times New Roman"/>
          <w:b w:val="0"/>
          <w:bCs w:val="0"/>
          <w:color w:val="auto"/>
          <w:highlight w:val="none"/>
          <w:u w:val="none"/>
          <w:lang w:val="en-US" w:eastAsia="zh-CN"/>
        </w:rPr>
        <w:t>在法律规章制度</w:t>
      </w:r>
      <w:r>
        <w:rPr>
          <w:rFonts w:hint="eastAsia" w:ascii="Times New Roman" w:hAnsi="Times New Roman" w:cs="Times New Roman"/>
          <w:b w:val="0"/>
          <w:bCs w:val="0"/>
          <w:color w:val="auto"/>
          <w:highlight w:val="none"/>
          <w:u w:val="none"/>
          <w:lang w:val="en-US" w:eastAsia="zh-CN"/>
        </w:rPr>
        <w:t>和监管要求</w:t>
      </w:r>
      <w:r>
        <w:rPr>
          <w:rFonts w:hint="default" w:ascii="Times New Roman" w:hAnsi="Times New Roman" w:eastAsia="仿宋_GB2312" w:cs="Times New Roman"/>
          <w:b w:val="0"/>
          <w:bCs w:val="0"/>
          <w:color w:val="auto"/>
          <w:highlight w:val="none"/>
          <w:u w:val="none"/>
          <w:lang w:val="en-US" w:eastAsia="zh-CN"/>
        </w:rPr>
        <w:t>允许范围内，</w:t>
      </w:r>
      <w:r>
        <w:rPr>
          <w:rFonts w:hint="default" w:ascii="Times New Roman" w:hAnsi="Times New Roman" w:eastAsia="仿宋_GB2312" w:cs="Times New Roman"/>
          <w:b w:val="0"/>
          <w:bCs w:val="0"/>
          <w:color w:val="auto"/>
          <w:highlight w:val="none"/>
          <w:u w:val="none"/>
        </w:rPr>
        <w:t>开展跨地区并购重组。对实现并购重组省外金融机构的且重组后注册地和主要经营活动地在我省的，省市财政按并购交易额的0.2%给予一次性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最高1000万元。</w:t>
      </w:r>
      <w:bookmarkStart w:id="1" w:name="_GoBack"/>
    </w:p>
    <w:bookmarkEnd w:id="1"/>
    <w:p w14:paraId="4CA6CF94">
      <w:pPr>
        <w:widowControl w:val="0"/>
        <w:spacing w:line="540" w:lineRule="exact"/>
        <w:ind w:firstLine="632" w:firstLineChars="200"/>
        <w:rPr>
          <w:rFonts w:hint="default" w:ascii="Times New Roman" w:hAnsi="Times New Roman" w:eastAsia="楷体_GB2312" w:cs="Times New Roman"/>
          <w:b w:val="0"/>
          <w:bCs w:val="0"/>
          <w:color w:val="auto"/>
          <w:highlight w:val="none"/>
          <w:u w:val="none"/>
        </w:rPr>
      </w:pPr>
      <w:r>
        <w:rPr>
          <w:rFonts w:hint="default" w:ascii="Times New Roman" w:hAnsi="Times New Roman" w:eastAsia="楷体_GB2312" w:cs="Times New Roman"/>
          <w:b w:val="0"/>
          <w:bCs w:val="0"/>
          <w:color w:val="auto"/>
          <w:highlight w:val="none"/>
          <w:u w:val="none"/>
        </w:rPr>
        <w:t>（二）金融机构地区总部及分支类机构。</w:t>
      </w:r>
    </w:p>
    <w:p w14:paraId="5907E457">
      <w:pPr>
        <w:widowControl w:val="0"/>
        <w:adjustRightInd w:val="0"/>
        <w:snapToGrid w:val="0"/>
        <w:spacing w:line="540" w:lineRule="exact"/>
        <w:ind w:firstLine="632" w:firstLineChars="200"/>
        <w:rPr>
          <w:rFonts w:hint="default" w:ascii="Times New Roman" w:hAnsi="Times New Roman" w:cs="Times New Roman"/>
          <w:b w:val="0"/>
          <w:bCs w:val="0"/>
          <w:color w:val="auto"/>
          <w:highlight w:val="none"/>
          <w:u w:val="none"/>
          <w:lang w:eastAsia="zh-CN"/>
        </w:rPr>
      </w:pPr>
      <w:r>
        <w:rPr>
          <w:rFonts w:hint="default" w:ascii="Times New Roman" w:hAnsi="Times New Roman" w:cs="Times New Roman"/>
          <w:b w:val="0"/>
          <w:bCs w:val="0"/>
          <w:color w:val="auto"/>
          <w:highlight w:val="none"/>
          <w:u w:val="none"/>
          <w:lang w:val="en-US" w:eastAsia="zh-CN"/>
        </w:rPr>
        <w:t>7</w:t>
      </w:r>
      <w:r>
        <w:rPr>
          <w:rFonts w:hint="default" w:ascii="Times New Roman" w:hAnsi="Times New Roman" w:eastAsia="仿宋_GB2312" w:cs="Times New Roman"/>
          <w:b w:val="0"/>
          <w:bCs w:val="0"/>
          <w:color w:val="auto"/>
          <w:highlight w:val="none"/>
          <w:u w:val="none"/>
        </w:rPr>
        <w:t>.当年新设立、新迁入、新升格的</w:t>
      </w:r>
      <w:r>
        <w:rPr>
          <w:rFonts w:hint="default" w:ascii="Times New Roman" w:hAnsi="Times New Roman" w:cs="Times New Roman"/>
          <w:b w:val="0"/>
          <w:bCs w:val="0"/>
          <w:color w:val="auto"/>
          <w:highlight w:val="none"/>
          <w:u w:val="none"/>
          <w:lang w:eastAsia="zh-CN"/>
        </w:rPr>
        <w:t>全国性</w:t>
      </w:r>
      <w:r>
        <w:rPr>
          <w:rFonts w:hint="default" w:ascii="Times New Roman" w:hAnsi="Times New Roman" w:eastAsia="仿宋_GB2312" w:cs="Times New Roman"/>
          <w:b w:val="0"/>
          <w:bCs w:val="0"/>
          <w:color w:val="auto"/>
          <w:highlight w:val="none"/>
          <w:u w:val="none"/>
        </w:rPr>
        <w:t>金融机构</w:t>
      </w:r>
      <w:r>
        <w:rPr>
          <w:rFonts w:hint="default" w:ascii="Times New Roman" w:hAnsi="Times New Roman" w:cs="Times New Roman"/>
          <w:b w:val="0"/>
          <w:bCs w:val="0"/>
          <w:color w:val="auto"/>
          <w:highlight w:val="none"/>
          <w:u w:val="none"/>
          <w:lang w:eastAsia="zh-CN"/>
        </w:rPr>
        <w:t>、省外地方性金融机构的</w:t>
      </w:r>
      <w:r>
        <w:rPr>
          <w:rFonts w:hint="default" w:ascii="Times New Roman" w:hAnsi="Times New Roman" w:eastAsia="仿宋_GB2312" w:cs="Times New Roman"/>
          <w:b w:val="0"/>
          <w:bCs w:val="0"/>
          <w:color w:val="auto"/>
          <w:highlight w:val="none"/>
          <w:u w:val="none"/>
        </w:rPr>
        <w:t>一级、二级、三级分支机构，第二年贷款余额、保险保费收入</w:t>
      </w:r>
      <w:r>
        <w:rPr>
          <w:rFonts w:hint="default" w:ascii="Times New Roman" w:hAnsi="Times New Roman" w:cs="Times New Roman"/>
          <w:b w:val="0"/>
          <w:bCs w:val="0"/>
          <w:color w:val="auto"/>
          <w:highlight w:val="none"/>
          <w:u w:val="none"/>
          <w:lang w:eastAsia="zh-CN"/>
        </w:rPr>
        <w:t>或</w:t>
      </w:r>
      <w:r>
        <w:rPr>
          <w:rFonts w:hint="default" w:ascii="Times New Roman" w:hAnsi="Times New Roman" w:eastAsia="仿宋_GB2312" w:cs="Times New Roman"/>
          <w:b w:val="0"/>
          <w:bCs w:val="0"/>
          <w:color w:val="auto"/>
          <w:highlight w:val="none"/>
          <w:u w:val="none"/>
        </w:rPr>
        <w:t>证券成交金额等主营业绩增速高于当地</w:t>
      </w:r>
      <w:r>
        <w:rPr>
          <w:rFonts w:hint="default" w:ascii="Times New Roman" w:hAnsi="Times New Roman" w:cs="Times New Roman"/>
          <w:b w:val="0"/>
          <w:bCs w:val="0"/>
          <w:color w:val="auto"/>
          <w:highlight w:val="none"/>
          <w:u w:val="none"/>
          <w:lang w:eastAsia="zh-CN"/>
        </w:rPr>
        <w:t>同业</w:t>
      </w:r>
      <w:r>
        <w:rPr>
          <w:rFonts w:hint="default" w:ascii="Times New Roman" w:hAnsi="Times New Roman" w:eastAsia="仿宋_GB2312" w:cs="Times New Roman"/>
          <w:b w:val="0"/>
          <w:bCs w:val="0"/>
          <w:color w:val="auto"/>
          <w:highlight w:val="none"/>
          <w:u w:val="none"/>
        </w:rPr>
        <w:t>平均水平，对地方经济发展产生实质贡献的，省市财政</w:t>
      </w:r>
      <w:r>
        <w:rPr>
          <w:rFonts w:hint="default" w:ascii="Times New Roman" w:hAnsi="Times New Roman" w:cs="Times New Roman"/>
          <w:b w:val="0"/>
          <w:bCs w:val="0"/>
          <w:color w:val="auto"/>
          <w:highlight w:val="none"/>
          <w:u w:val="none"/>
          <w:lang w:eastAsia="zh-CN"/>
        </w:rPr>
        <w:t>按类型及贡献</w:t>
      </w:r>
      <w:r>
        <w:rPr>
          <w:rFonts w:hint="default" w:ascii="Times New Roman" w:hAnsi="Times New Roman" w:eastAsia="仿宋_GB2312" w:cs="Times New Roman"/>
          <w:b w:val="0"/>
          <w:bCs w:val="0"/>
          <w:color w:val="auto"/>
          <w:highlight w:val="none"/>
          <w:u w:val="none"/>
        </w:rPr>
        <w:t>给予一次性</w:t>
      </w:r>
      <w:r>
        <w:rPr>
          <w:rFonts w:hint="default" w:ascii="Times New Roman" w:hAnsi="Times New Roman" w:cs="Times New Roman"/>
          <w:b w:val="0"/>
          <w:bCs w:val="0"/>
          <w:color w:val="auto"/>
          <w:highlight w:val="none"/>
          <w:u w:val="none"/>
          <w:lang w:eastAsia="zh-CN"/>
        </w:rPr>
        <w:t>奖励，一级分支机构奖励</w:t>
      </w:r>
      <w:r>
        <w:rPr>
          <w:rFonts w:hint="default" w:ascii="Times New Roman" w:hAnsi="Times New Roman" w:cs="Times New Roman"/>
          <w:b w:val="0"/>
          <w:bCs w:val="0"/>
          <w:color w:val="auto"/>
          <w:highlight w:val="none"/>
          <w:u w:val="none"/>
          <w:lang w:val="en-US" w:eastAsia="zh-CN"/>
        </w:rPr>
        <w:t>500万元、二级分支机构</w:t>
      </w:r>
      <w:r>
        <w:rPr>
          <w:rFonts w:hint="default" w:ascii="Times New Roman" w:hAnsi="Times New Roman" w:cs="Times New Roman"/>
          <w:b w:val="0"/>
          <w:bCs w:val="0"/>
          <w:color w:val="auto"/>
          <w:highlight w:val="none"/>
          <w:u w:val="none"/>
          <w:lang w:eastAsia="zh-CN"/>
        </w:rPr>
        <w:t>奖励</w:t>
      </w:r>
      <w:r>
        <w:rPr>
          <w:rFonts w:hint="default" w:ascii="Times New Roman" w:hAnsi="Times New Roman" w:cs="Times New Roman"/>
          <w:b w:val="0"/>
          <w:bCs w:val="0"/>
          <w:color w:val="auto"/>
          <w:highlight w:val="none"/>
          <w:u w:val="none"/>
          <w:lang w:val="en-US" w:eastAsia="zh-CN"/>
        </w:rPr>
        <w:t>200万元、三级分支机构</w:t>
      </w:r>
      <w:r>
        <w:rPr>
          <w:rFonts w:hint="default" w:ascii="Times New Roman" w:hAnsi="Times New Roman" w:cs="Times New Roman"/>
          <w:b w:val="0"/>
          <w:bCs w:val="0"/>
          <w:color w:val="auto"/>
          <w:highlight w:val="none"/>
          <w:u w:val="none"/>
          <w:lang w:eastAsia="zh-CN"/>
        </w:rPr>
        <w:t>奖励</w:t>
      </w:r>
      <w:r>
        <w:rPr>
          <w:rFonts w:hint="default" w:ascii="Times New Roman" w:hAnsi="Times New Roman" w:cs="Times New Roman"/>
          <w:b w:val="0"/>
          <w:bCs w:val="0"/>
          <w:color w:val="auto"/>
          <w:highlight w:val="none"/>
          <w:u w:val="none"/>
          <w:lang w:val="en-US" w:eastAsia="zh-CN"/>
        </w:rPr>
        <w:t>50万元</w:t>
      </w:r>
      <w:r>
        <w:rPr>
          <w:rFonts w:hint="default" w:ascii="Times New Roman" w:hAnsi="Times New Roman" w:cs="Times New Roman"/>
          <w:b w:val="0"/>
          <w:bCs w:val="0"/>
          <w:color w:val="auto"/>
          <w:highlight w:val="none"/>
          <w:u w:val="none"/>
          <w:lang w:eastAsia="zh-CN"/>
        </w:rPr>
        <w:t>。</w:t>
      </w:r>
    </w:p>
    <w:p w14:paraId="4F1C899C">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8</w:t>
      </w:r>
      <w:r>
        <w:rPr>
          <w:rFonts w:hint="default" w:ascii="Times New Roman" w:hAnsi="Times New Roman" w:eastAsia="仿宋_GB2312" w:cs="Times New Roman"/>
          <w:b w:val="0"/>
          <w:bCs w:val="0"/>
          <w:color w:val="auto"/>
          <w:highlight w:val="none"/>
          <w:u w:val="none"/>
        </w:rPr>
        <w:t>.新设立、新迁入的金融机构资金业务专营机构、具备资金归集结算职能并对地方经济发展产生实质贡献的，省市财政按实收资本1%一次性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w:t>
      </w:r>
      <w:r>
        <w:rPr>
          <w:rFonts w:hint="default" w:ascii="Times New Roman" w:hAnsi="Times New Roman" w:cs="Times New Roman"/>
          <w:b w:val="0"/>
          <w:bCs w:val="0"/>
          <w:color w:val="auto"/>
          <w:highlight w:val="none"/>
          <w:u w:val="none"/>
          <w:lang w:eastAsia="zh-CN"/>
        </w:rPr>
        <w:t>不超过</w:t>
      </w:r>
      <w:r>
        <w:rPr>
          <w:rFonts w:hint="default" w:ascii="Times New Roman" w:hAnsi="Times New Roman" w:cs="Times New Roman"/>
          <w:b w:val="0"/>
          <w:bCs w:val="0"/>
          <w:color w:val="auto"/>
          <w:highlight w:val="none"/>
          <w:u w:val="none"/>
          <w:lang w:val="en-US" w:eastAsia="zh-CN"/>
        </w:rPr>
        <w:t>500</w:t>
      </w:r>
      <w:r>
        <w:rPr>
          <w:rFonts w:hint="default" w:ascii="Times New Roman" w:hAnsi="Times New Roman" w:eastAsia="仿宋_GB2312" w:cs="Times New Roman"/>
          <w:b w:val="0"/>
          <w:bCs w:val="0"/>
          <w:color w:val="auto"/>
          <w:highlight w:val="none"/>
          <w:u w:val="none"/>
        </w:rPr>
        <w:t>万元。</w:t>
      </w:r>
    </w:p>
    <w:p w14:paraId="459D608C">
      <w:pPr>
        <w:widowControl w:val="0"/>
        <w:spacing w:line="540" w:lineRule="exact"/>
        <w:ind w:firstLine="632" w:firstLineChars="200"/>
        <w:rPr>
          <w:rFonts w:hint="default" w:ascii="Times New Roman" w:hAnsi="Times New Roman" w:eastAsia="楷体_GB2312" w:cs="Times New Roman"/>
          <w:b w:val="0"/>
          <w:bCs w:val="0"/>
          <w:color w:val="auto"/>
          <w:highlight w:val="none"/>
          <w:u w:val="none"/>
        </w:rPr>
      </w:pPr>
      <w:r>
        <w:rPr>
          <w:rFonts w:hint="default" w:ascii="Times New Roman" w:hAnsi="Times New Roman" w:eastAsia="楷体_GB2312" w:cs="Times New Roman"/>
          <w:b w:val="0"/>
          <w:bCs w:val="0"/>
          <w:color w:val="auto"/>
          <w:highlight w:val="none"/>
          <w:u w:val="none"/>
        </w:rPr>
        <w:t>（三）</w:t>
      </w:r>
      <w:bookmarkStart w:id="0" w:name="_Hlk76462446"/>
      <w:r>
        <w:rPr>
          <w:rFonts w:hint="default" w:ascii="Times New Roman" w:hAnsi="Times New Roman" w:eastAsia="楷体_GB2312" w:cs="Times New Roman"/>
          <w:b w:val="0"/>
          <w:bCs w:val="0"/>
          <w:color w:val="auto"/>
          <w:highlight w:val="none"/>
          <w:u w:val="none"/>
        </w:rPr>
        <w:t>金融专业公司及特色金融业务经营机构</w:t>
      </w:r>
      <w:bookmarkEnd w:id="0"/>
      <w:r>
        <w:rPr>
          <w:rFonts w:hint="default" w:ascii="Times New Roman" w:hAnsi="Times New Roman" w:eastAsia="楷体_GB2312" w:cs="Times New Roman"/>
          <w:b w:val="0"/>
          <w:bCs w:val="0"/>
          <w:color w:val="auto"/>
          <w:highlight w:val="none"/>
          <w:u w:val="none"/>
        </w:rPr>
        <w:t>。</w:t>
      </w:r>
    </w:p>
    <w:p w14:paraId="6C355C18">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9</w:t>
      </w:r>
      <w:r>
        <w:rPr>
          <w:rFonts w:hint="default" w:ascii="Times New Roman" w:hAnsi="Times New Roman" w:eastAsia="仿宋_GB2312" w:cs="Times New Roman"/>
          <w:b w:val="0"/>
          <w:bCs w:val="0"/>
          <w:color w:val="auto"/>
          <w:highlight w:val="none"/>
          <w:u w:val="none"/>
        </w:rPr>
        <w:t>.</w:t>
      </w:r>
      <w:r>
        <w:rPr>
          <w:rFonts w:hint="default" w:ascii="Times New Roman" w:hAnsi="Times New Roman" w:cs="Times New Roman"/>
          <w:b w:val="0"/>
          <w:bCs w:val="0"/>
          <w:color w:val="auto"/>
          <w:highlight w:val="none"/>
          <w:u w:val="none"/>
          <w:lang w:eastAsia="zh-CN"/>
        </w:rPr>
        <w:t>全国性、地方性金融机构（</w:t>
      </w:r>
      <w:r>
        <w:rPr>
          <w:rFonts w:hint="default" w:ascii="Times New Roman" w:hAnsi="Times New Roman" w:cs="Times New Roman"/>
          <w:b w:val="0"/>
          <w:bCs w:val="0"/>
          <w:color w:val="auto"/>
          <w:sz w:val="32"/>
          <w:szCs w:val="32"/>
          <w:highlight w:val="none"/>
          <w:u w:val="none"/>
          <w:lang w:eastAsia="zh-CN"/>
        </w:rPr>
        <w:t>组织</w:t>
      </w:r>
      <w:r>
        <w:rPr>
          <w:rFonts w:hint="default" w:ascii="Times New Roman" w:hAnsi="Times New Roman"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rPr>
        <w:t>在我省新设立、新迁入的商业银行、金融租赁、证券、基金管理、期货、保险公司等法人金融机构专业子公司，省市财政按实缴资本的</w:t>
      </w:r>
      <w:r>
        <w:rPr>
          <w:rFonts w:hint="default" w:ascii="Times New Roman" w:hAnsi="Times New Roman" w:cs="Times New Roman"/>
          <w:b w:val="0"/>
          <w:bCs w:val="0"/>
          <w:color w:val="auto"/>
          <w:highlight w:val="none"/>
          <w:u w:val="none"/>
          <w:lang w:val="en-US" w:eastAsia="zh-CN"/>
        </w:rPr>
        <w:t>1</w:t>
      </w:r>
      <w:r>
        <w:rPr>
          <w:rFonts w:hint="default" w:ascii="Times New Roman" w:hAnsi="Times New Roman" w:eastAsia="仿宋_GB2312" w:cs="Times New Roman"/>
          <w:b w:val="0"/>
          <w:bCs w:val="0"/>
          <w:color w:val="auto"/>
          <w:highlight w:val="none"/>
          <w:u w:val="none"/>
        </w:rPr>
        <w:t>%给予一次性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w:t>
      </w:r>
      <w:r>
        <w:rPr>
          <w:rFonts w:hint="default" w:ascii="Times New Roman" w:hAnsi="Times New Roman" w:cs="Times New Roman"/>
          <w:b w:val="0"/>
          <w:bCs w:val="0"/>
          <w:color w:val="auto"/>
          <w:highlight w:val="none"/>
          <w:u w:val="none"/>
          <w:lang w:eastAsia="zh-CN"/>
        </w:rPr>
        <w:t>5</w:t>
      </w:r>
      <w:r>
        <w:rPr>
          <w:rFonts w:hint="default" w:ascii="Times New Roman" w:hAnsi="Times New Roman" w:cs="Times New Roman"/>
          <w:b w:val="0"/>
          <w:bCs w:val="0"/>
          <w:color w:val="auto"/>
          <w:highlight w:val="none"/>
          <w:u w:val="none"/>
          <w:lang w:val="en-US" w:eastAsia="zh-CN"/>
        </w:rPr>
        <w:t>00</w:t>
      </w:r>
      <w:r>
        <w:rPr>
          <w:rFonts w:hint="default" w:ascii="Times New Roman" w:hAnsi="Times New Roman" w:eastAsia="仿宋_GB2312" w:cs="Times New Roman"/>
          <w:b w:val="0"/>
          <w:bCs w:val="0"/>
          <w:color w:val="auto"/>
          <w:highlight w:val="none"/>
          <w:u w:val="none"/>
        </w:rPr>
        <w:t>万元。</w:t>
      </w:r>
    </w:p>
    <w:p w14:paraId="5CA0071F">
      <w:pPr>
        <w:widowControl w:val="0"/>
        <w:numPr>
          <w:ilvl w:val="-1"/>
          <w:numId w:val="0"/>
        </w:numPr>
        <w:adjustRightInd/>
        <w:snapToGrid/>
        <w:spacing w:line="540" w:lineRule="exact"/>
        <w:ind w:firstLine="632" w:firstLineChars="200"/>
        <w:rPr>
          <w:rFonts w:hint="default" w:ascii="Times New Roman" w:hAnsi="Times New Roman" w:eastAsia="仿宋_GB2312" w:cs="Times New Roman"/>
          <w:b w:val="0"/>
          <w:bCs w:val="0"/>
          <w:color w:val="auto"/>
          <w:highlight w:val="none"/>
          <w:u w:val="none"/>
          <w:lang w:val="en-US" w:eastAsia="zh-CN"/>
        </w:rPr>
      </w:pPr>
      <w:r>
        <w:rPr>
          <w:rFonts w:hint="default" w:ascii="Times New Roman" w:hAnsi="Times New Roman" w:cs="Times New Roman"/>
          <w:b w:val="0"/>
          <w:bCs w:val="0"/>
          <w:color w:val="auto"/>
          <w:highlight w:val="none"/>
          <w:u w:val="none"/>
          <w:lang w:val="en-US" w:eastAsia="zh-CN"/>
        </w:rPr>
        <w:t>10.</w:t>
      </w:r>
      <w:r>
        <w:rPr>
          <w:rFonts w:hint="default" w:ascii="Times New Roman" w:hAnsi="Times New Roman" w:eastAsia="仿宋_GB2312" w:cs="Times New Roman"/>
          <w:b w:val="0"/>
          <w:bCs w:val="0"/>
          <w:color w:val="auto"/>
          <w:highlight w:val="none"/>
          <w:u w:val="none"/>
        </w:rPr>
        <w:t>鼓励各类金融机构在我省新设立特色金融业务事业部、特色金融业务经营机构，开展科技金融、绿色金融、普惠金融、养老金融、数字金融、对俄特色金融等符合我省产业发展导向的相关业务，并对地方经济发展产生实质贡献的，按年度同比贷款新增数（需要有基础年度，只奖励一次，年度由机构自行选择，数据由中国人民银行黑龙江省分行统计），省市财政按类型及贡献的0.05%给予一次性奖励，叠加奖励最高500万元。</w:t>
      </w:r>
    </w:p>
    <w:p w14:paraId="4673849A">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11</w:t>
      </w:r>
      <w:r>
        <w:rPr>
          <w:rFonts w:hint="default" w:ascii="Times New Roman" w:hAnsi="Times New Roman" w:eastAsia="仿宋_GB2312" w:cs="Times New Roman"/>
          <w:b w:val="0"/>
          <w:bCs w:val="0"/>
          <w:color w:val="auto"/>
          <w:highlight w:val="none"/>
          <w:u w:val="none"/>
        </w:rPr>
        <w:t>.对省外银行、证券、保险等法人金融机构在我省新设立、新迁入的金融科技子公司、产品研发中心、数据处理中心、软件开发中心、金融科技实验室等机构，省市财政按其实缴资本的10%给予一次性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最高500万元。</w:t>
      </w:r>
    </w:p>
    <w:p w14:paraId="7007BB3F">
      <w:pPr>
        <w:widowControl w:val="0"/>
        <w:spacing w:line="540" w:lineRule="exact"/>
        <w:ind w:firstLine="632" w:firstLineChars="200"/>
        <w:rPr>
          <w:rFonts w:hint="default" w:ascii="Times New Roman" w:hAnsi="Times New Roman" w:eastAsia="楷体_GB2312" w:cs="Times New Roman"/>
          <w:b w:val="0"/>
          <w:bCs w:val="0"/>
          <w:color w:val="auto"/>
          <w:highlight w:val="none"/>
          <w:u w:val="none"/>
        </w:rPr>
      </w:pPr>
      <w:r>
        <w:rPr>
          <w:rFonts w:hint="default" w:ascii="Times New Roman" w:hAnsi="Times New Roman" w:eastAsia="楷体_GB2312" w:cs="Times New Roman"/>
          <w:b w:val="0"/>
          <w:bCs w:val="0"/>
          <w:color w:val="auto"/>
          <w:highlight w:val="none"/>
          <w:u w:val="none"/>
        </w:rPr>
        <w:t>（四）金融配套服务机构。</w:t>
      </w:r>
    </w:p>
    <w:p w14:paraId="6785077C">
      <w:pPr>
        <w:widowControl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w:t>
      </w:r>
      <w:r>
        <w:rPr>
          <w:rFonts w:hint="default" w:ascii="Times New Roman" w:hAnsi="Times New Roman" w:cs="Times New Roman"/>
          <w:b w:val="0"/>
          <w:bCs w:val="0"/>
          <w:color w:val="auto"/>
          <w:highlight w:val="none"/>
          <w:u w:val="none"/>
          <w:lang w:val="en-US" w:eastAsia="zh-CN"/>
        </w:rPr>
        <w:t>2</w:t>
      </w:r>
      <w:r>
        <w:rPr>
          <w:rFonts w:hint="default" w:ascii="Times New Roman" w:hAnsi="Times New Roman" w:eastAsia="仿宋_GB2312" w:cs="Times New Roman"/>
          <w:b w:val="0"/>
          <w:bCs w:val="0"/>
          <w:color w:val="auto"/>
          <w:highlight w:val="none"/>
          <w:u w:val="none"/>
        </w:rPr>
        <w:t>.新设立、新迁入的国际国内信用评级（评估）公司和征信机构等金融配套服务机构，以及全国性金融行业协会组织，省市财政按其实缴资本（扣除省内资金出资额后）的1%给予一次性</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w:t>
      </w:r>
      <w:r>
        <w:rPr>
          <w:rFonts w:hint="default" w:ascii="Times New Roman" w:hAnsi="Times New Roman" w:cs="Times New Roman"/>
          <w:b w:val="0"/>
          <w:bCs w:val="0"/>
          <w:color w:val="auto"/>
          <w:highlight w:val="none"/>
          <w:u w:val="none"/>
          <w:lang w:eastAsia="zh-CN"/>
        </w:rPr>
        <w:t>2</w:t>
      </w:r>
      <w:r>
        <w:rPr>
          <w:rFonts w:hint="default" w:ascii="Times New Roman" w:hAnsi="Times New Roman" w:cs="Times New Roman"/>
          <w:b w:val="0"/>
          <w:bCs w:val="0"/>
          <w:color w:val="auto"/>
          <w:highlight w:val="none"/>
          <w:u w:val="none"/>
          <w:lang w:val="en-US" w:eastAsia="zh-CN"/>
        </w:rPr>
        <w:t>00</w:t>
      </w:r>
      <w:r>
        <w:rPr>
          <w:rFonts w:hint="default" w:ascii="Times New Roman" w:hAnsi="Times New Roman" w:eastAsia="仿宋_GB2312" w:cs="Times New Roman"/>
          <w:b w:val="0"/>
          <w:bCs w:val="0"/>
          <w:color w:val="auto"/>
          <w:highlight w:val="none"/>
          <w:u w:val="none"/>
        </w:rPr>
        <w:t>万元。</w:t>
      </w:r>
    </w:p>
    <w:p w14:paraId="73176E89">
      <w:pPr>
        <w:widowControl w:val="0"/>
        <w:adjustRightInd w:val="0"/>
        <w:snapToGrid w:val="0"/>
        <w:spacing w:line="540" w:lineRule="exact"/>
        <w:ind w:firstLine="632" w:firstLineChars="200"/>
        <w:rPr>
          <w:rFonts w:hint="default" w:ascii="Times New Roman" w:hAnsi="Times New Roman" w:eastAsia="楷体_GB2312" w:cs="Times New Roman"/>
          <w:b w:val="0"/>
          <w:bCs w:val="0"/>
          <w:color w:val="auto"/>
          <w:highlight w:val="none"/>
          <w:u w:val="none"/>
        </w:rPr>
      </w:pPr>
      <w:r>
        <w:rPr>
          <w:rFonts w:hint="default" w:ascii="Times New Roman" w:hAnsi="Times New Roman" w:eastAsia="楷体_GB2312" w:cs="Times New Roman"/>
          <w:b w:val="0"/>
          <w:bCs w:val="0"/>
          <w:color w:val="auto"/>
          <w:highlight w:val="none"/>
          <w:u w:val="none"/>
        </w:rPr>
        <w:t>（五）境外金融机构及资本。</w:t>
      </w:r>
    </w:p>
    <w:p w14:paraId="7B38DDE3">
      <w:pPr>
        <w:widowControl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w:t>
      </w:r>
      <w:r>
        <w:rPr>
          <w:rFonts w:hint="default" w:ascii="Times New Roman" w:hAnsi="Times New Roman" w:cs="Times New Roman"/>
          <w:b w:val="0"/>
          <w:bCs w:val="0"/>
          <w:color w:val="auto"/>
          <w:highlight w:val="none"/>
          <w:u w:val="none"/>
          <w:lang w:val="en-US" w:eastAsia="zh-CN"/>
        </w:rPr>
        <w:t>3</w:t>
      </w:r>
      <w:r>
        <w:rPr>
          <w:rFonts w:hint="default" w:ascii="Times New Roman" w:hAnsi="Times New Roman" w:eastAsia="仿宋_GB2312" w:cs="Times New Roman"/>
          <w:b w:val="0"/>
          <w:bCs w:val="0"/>
          <w:color w:val="auto"/>
          <w:highlight w:val="none"/>
          <w:u w:val="none"/>
        </w:rPr>
        <w:t>.</w:t>
      </w:r>
      <w:r>
        <w:rPr>
          <w:rFonts w:hint="default" w:ascii="Times New Roman" w:hAnsi="Times New Roman" w:cs="Times New Roman"/>
          <w:b w:val="0"/>
          <w:bCs w:val="0"/>
          <w:color w:val="auto"/>
          <w:highlight w:val="none"/>
          <w:u w:val="none"/>
          <w:lang w:eastAsia="zh-CN"/>
        </w:rPr>
        <w:t>新</w:t>
      </w:r>
      <w:r>
        <w:rPr>
          <w:rFonts w:hint="default" w:ascii="Times New Roman" w:hAnsi="Times New Roman" w:eastAsia="仿宋_GB2312" w:cs="Times New Roman"/>
          <w:b w:val="0"/>
          <w:bCs w:val="0"/>
          <w:color w:val="auto"/>
          <w:highlight w:val="none"/>
          <w:u w:val="none"/>
        </w:rPr>
        <w:t>引进</w:t>
      </w:r>
      <w:r>
        <w:rPr>
          <w:rFonts w:hint="default" w:ascii="Times New Roman" w:hAnsi="Times New Roman" w:cs="Times New Roman"/>
          <w:b w:val="0"/>
          <w:bCs w:val="0"/>
          <w:color w:val="auto"/>
          <w:highlight w:val="none"/>
          <w:u w:val="none"/>
          <w:lang w:eastAsia="zh-CN"/>
        </w:rPr>
        <w:t>、新组建的</w:t>
      </w:r>
      <w:r>
        <w:rPr>
          <w:rFonts w:hint="default" w:ascii="Times New Roman" w:hAnsi="Times New Roman" w:eastAsia="仿宋_GB2312" w:cs="Times New Roman"/>
          <w:b w:val="0"/>
          <w:bCs w:val="0"/>
          <w:color w:val="auto"/>
          <w:highlight w:val="none"/>
          <w:u w:val="none"/>
        </w:rPr>
        <w:t>境外金融机构</w:t>
      </w:r>
      <w:r>
        <w:rPr>
          <w:rFonts w:hint="default" w:ascii="Times New Roman" w:hAnsi="Times New Roman" w:cs="Times New Roman"/>
          <w:b w:val="0"/>
          <w:bCs w:val="0"/>
          <w:color w:val="auto"/>
          <w:highlight w:val="none"/>
          <w:u w:val="none"/>
          <w:lang w:eastAsia="zh-CN"/>
        </w:rPr>
        <w:t>总部</w:t>
      </w:r>
      <w:r>
        <w:rPr>
          <w:rFonts w:hint="default" w:ascii="Times New Roman" w:hAnsi="Times New Roman" w:eastAsia="仿宋_GB2312" w:cs="Times New Roman"/>
          <w:b w:val="0"/>
          <w:bCs w:val="0"/>
          <w:color w:val="auto"/>
          <w:highlight w:val="none"/>
          <w:u w:val="none"/>
        </w:rPr>
        <w:t>、合资金融机构</w:t>
      </w:r>
      <w:r>
        <w:rPr>
          <w:rFonts w:hint="default" w:ascii="Times New Roman" w:hAnsi="Times New Roman" w:cs="Times New Roman"/>
          <w:b w:val="0"/>
          <w:bCs w:val="0"/>
          <w:color w:val="auto"/>
          <w:highlight w:val="none"/>
          <w:u w:val="none"/>
          <w:lang w:eastAsia="zh-CN"/>
        </w:rPr>
        <w:t>总部</w:t>
      </w:r>
      <w:r>
        <w:rPr>
          <w:rFonts w:hint="default" w:ascii="Times New Roman" w:hAnsi="Times New Roman" w:eastAsia="仿宋_GB2312" w:cs="Times New Roman"/>
          <w:b w:val="0"/>
          <w:bCs w:val="0"/>
          <w:color w:val="auto"/>
          <w:highlight w:val="none"/>
          <w:u w:val="none"/>
        </w:rPr>
        <w:t>，参照引进法人金融机构总部给予同等</w:t>
      </w:r>
      <w:r>
        <w:rPr>
          <w:rFonts w:hint="default" w:ascii="Times New Roman" w:hAnsi="Times New Roman" w:cs="Times New Roman"/>
          <w:b w:val="0"/>
          <w:bCs w:val="0"/>
          <w:color w:val="auto"/>
          <w:highlight w:val="none"/>
          <w:u w:val="none"/>
          <w:lang w:eastAsia="zh-CN"/>
        </w:rPr>
        <w:t>奖励；新</w:t>
      </w:r>
      <w:r>
        <w:rPr>
          <w:rFonts w:hint="default" w:ascii="Times New Roman" w:hAnsi="Times New Roman" w:eastAsia="仿宋_GB2312" w:cs="Times New Roman"/>
          <w:b w:val="0"/>
          <w:bCs w:val="0"/>
          <w:color w:val="auto"/>
          <w:highlight w:val="none"/>
          <w:u w:val="none"/>
        </w:rPr>
        <w:t>设立</w:t>
      </w:r>
      <w:r>
        <w:rPr>
          <w:rFonts w:hint="default" w:ascii="Times New Roman" w:hAnsi="Times New Roman" w:cs="Times New Roman"/>
          <w:b w:val="0"/>
          <w:bCs w:val="0"/>
          <w:color w:val="auto"/>
          <w:highlight w:val="none"/>
          <w:u w:val="none"/>
          <w:lang w:eastAsia="zh-CN"/>
        </w:rPr>
        <w:t>、新引进的</w:t>
      </w:r>
      <w:r>
        <w:rPr>
          <w:rFonts w:hint="default" w:ascii="Times New Roman" w:hAnsi="Times New Roman" w:eastAsia="仿宋_GB2312" w:cs="Times New Roman"/>
          <w:b w:val="0"/>
          <w:bCs w:val="0"/>
          <w:color w:val="auto"/>
          <w:highlight w:val="none"/>
          <w:u w:val="none"/>
        </w:rPr>
        <w:t>外商股权投资类企业</w:t>
      </w:r>
      <w:r>
        <w:rPr>
          <w:rFonts w:hint="default" w:ascii="Times New Roman" w:hAnsi="Times New Roman"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rPr>
        <w:t>境外金融专业公司、特色金融业务经营机构以及金融配套服务机构，参照境内同类型企业或机构给予同等</w:t>
      </w:r>
      <w:r>
        <w:rPr>
          <w:rFonts w:hint="default" w:ascii="Times New Roman" w:hAnsi="Times New Roman"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w:t>
      </w:r>
    </w:p>
    <w:p w14:paraId="041D2A85">
      <w:pPr>
        <w:widowControl w:val="0"/>
        <w:spacing w:line="540" w:lineRule="exact"/>
        <w:ind w:left="0" w:firstLine="632" w:firstLineChars="200"/>
        <w:rPr>
          <w:rFonts w:hint="default" w:ascii="Times New Roman" w:hAnsi="Times New Roman" w:eastAsia="楷体_GB2312" w:cs="Times New Roman"/>
          <w:b w:val="0"/>
          <w:bCs w:val="0"/>
          <w:color w:val="auto"/>
          <w:kern w:val="2"/>
          <w:highlight w:val="none"/>
          <w:u w:val="none"/>
        </w:rPr>
      </w:pPr>
      <w:r>
        <w:rPr>
          <w:rFonts w:hint="default" w:ascii="Times New Roman" w:hAnsi="Times New Roman" w:eastAsia="楷体_GB2312" w:cs="Times New Roman"/>
          <w:b w:val="0"/>
          <w:bCs w:val="0"/>
          <w:color w:val="auto"/>
          <w:kern w:val="2"/>
          <w:highlight w:val="none"/>
          <w:u w:val="none"/>
        </w:rPr>
        <w:t>（六）引进金融主体购房政策</w:t>
      </w:r>
      <w:r>
        <w:rPr>
          <w:rFonts w:hint="default" w:ascii="Times New Roman" w:hAnsi="Times New Roman" w:eastAsia="楷体_GB2312" w:cs="Times New Roman"/>
          <w:b w:val="0"/>
          <w:bCs w:val="0"/>
          <w:color w:val="auto"/>
          <w:kern w:val="2"/>
          <w:highlight w:val="none"/>
          <w:u w:val="none"/>
          <w:lang w:eastAsia="zh-CN"/>
        </w:rPr>
        <w:t>。</w:t>
      </w:r>
    </w:p>
    <w:p w14:paraId="58B4514E">
      <w:pPr>
        <w:widowControl w:val="0"/>
        <w:adjustRightInd/>
        <w:snapToGrid/>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w:t>
      </w:r>
      <w:r>
        <w:rPr>
          <w:rFonts w:hint="default" w:ascii="Times New Roman" w:hAnsi="Times New Roman" w:cs="Times New Roman"/>
          <w:b w:val="0"/>
          <w:bCs w:val="0"/>
          <w:color w:val="auto"/>
          <w:highlight w:val="none"/>
          <w:u w:val="none"/>
          <w:lang w:val="en-US" w:eastAsia="zh-CN"/>
        </w:rPr>
        <w:t>4</w:t>
      </w:r>
      <w:r>
        <w:rPr>
          <w:rFonts w:hint="default" w:ascii="Times New Roman" w:hAnsi="Times New Roman" w:eastAsia="仿宋_GB2312" w:cs="Times New Roman"/>
          <w:b w:val="0"/>
          <w:bCs w:val="0"/>
          <w:color w:val="auto"/>
          <w:highlight w:val="none"/>
          <w:u w:val="none"/>
        </w:rPr>
        <w:t>.由省外资本新设立、新迁入的法人金融机构总部在省内首购自用办公用房的，省市财政按购房合同及发票金额的10%给予一次性</w:t>
      </w:r>
      <w:r>
        <w:rPr>
          <w:rFonts w:hint="default" w:ascii="Times New Roman" w:hAnsi="Times New Roman" w:eastAsia="仿宋_GB2312"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eastAsia="仿宋_GB2312"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最高2000万元；省外金融机构在我省新设立、新迁入、新升格的地区总部及一级分支机构，在省内首购自用办公用房的，省市财政按购房合同及发票金额的5%给予一次性</w:t>
      </w:r>
      <w:r>
        <w:rPr>
          <w:rFonts w:hint="default" w:ascii="Times New Roman" w:hAnsi="Times New Roman" w:eastAsia="仿宋_GB2312"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，叠加</w:t>
      </w:r>
      <w:r>
        <w:rPr>
          <w:rFonts w:hint="default" w:ascii="Times New Roman" w:hAnsi="Times New Roman" w:eastAsia="仿宋_GB2312"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最高1000万元；新设立、新迁入的金融专业公司及特色金融业务经营机构首购自用办公用房的，参照金融机构地区总部及一级分支机构</w:t>
      </w:r>
      <w:r>
        <w:rPr>
          <w:rFonts w:hint="default" w:ascii="Times New Roman" w:hAnsi="Times New Roman" w:eastAsia="仿宋_GB2312"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政策执行。获得</w:t>
      </w:r>
      <w:r>
        <w:rPr>
          <w:rFonts w:hint="default" w:ascii="Times New Roman" w:hAnsi="Times New Roman" w:eastAsia="仿宋_GB2312" w:cs="Times New Roman"/>
          <w:b w:val="0"/>
          <w:bCs w:val="0"/>
          <w:color w:val="auto"/>
          <w:highlight w:val="none"/>
          <w:u w:val="none"/>
          <w:lang w:eastAsia="zh-CN"/>
        </w:rPr>
        <w:t>奖励</w:t>
      </w:r>
      <w:r>
        <w:rPr>
          <w:rFonts w:hint="default" w:ascii="Times New Roman" w:hAnsi="Times New Roman" w:eastAsia="仿宋_GB2312" w:cs="Times New Roman"/>
          <w:b w:val="0"/>
          <w:bCs w:val="0"/>
          <w:color w:val="auto"/>
          <w:highlight w:val="none"/>
          <w:u w:val="none"/>
        </w:rPr>
        <w:t>的办公用房5年内不得对外租售。</w:t>
      </w:r>
    </w:p>
    <w:p w14:paraId="5AFCD312">
      <w:pPr>
        <w:widowControl w:val="0"/>
        <w:adjustRightInd w:val="0"/>
        <w:snapToGrid w:val="0"/>
        <w:spacing w:line="540" w:lineRule="exact"/>
        <w:ind w:firstLine="632" w:firstLineChars="200"/>
        <w:rPr>
          <w:rFonts w:hint="default" w:ascii="Times New Roman" w:hAnsi="Times New Roman" w:eastAsia="黑体" w:cs="Times New Roman"/>
          <w:b w:val="0"/>
          <w:bCs w:val="0"/>
          <w:color w:val="auto"/>
          <w:highlight w:val="none"/>
          <w:u w:val="none"/>
        </w:rPr>
      </w:pPr>
      <w:r>
        <w:rPr>
          <w:rFonts w:hint="default" w:ascii="Times New Roman" w:hAnsi="Times New Roman" w:eastAsia="黑体" w:cs="Times New Roman"/>
          <w:b w:val="0"/>
          <w:bCs w:val="0"/>
          <w:color w:val="auto"/>
          <w:highlight w:val="none"/>
          <w:u w:val="none"/>
        </w:rPr>
        <w:t>二、强化金融助振兴贡献激励</w:t>
      </w:r>
    </w:p>
    <w:p w14:paraId="49160464">
      <w:pPr>
        <w:widowControl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w:t>
      </w:r>
      <w:r>
        <w:rPr>
          <w:rFonts w:hint="default" w:ascii="Times New Roman" w:hAnsi="Times New Roman" w:cs="Times New Roman"/>
          <w:b w:val="0"/>
          <w:bCs w:val="0"/>
          <w:color w:val="auto"/>
          <w:highlight w:val="none"/>
          <w:u w:val="none"/>
          <w:lang w:val="en-US" w:eastAsia="zh-CN"/>
        </w:rPr>
        <w:t>5</w:t>
      </w:r>
      <w:r>
        <w:rPr>
          <w:rFonts w:hint="default" w:ascii="Times New Roman" w:hAnsi="Times New Roman" w:eastAsia="仿宋_GB2312" w:cs="Times New Roman"/>
          <w:b w:val="0"/>
          <w:bCs w:val="0"/>
          <w:color w:val="auto"/>
          <w:highlight w:val="none"/>
          <w:u w:val="none"/>
        </w:rPr>
        <w:t>.我省上市公司通过定向增发、可转债、配股等实现再融资5亿元（含）以上的</w:t>
      </w:r>
      <w:r>
        <w:rPr>
          <w:rFonts w:hint="default" w:ascii="Times New Roman" w:hAnsi="Times New Roman" w:cs="Times New Roman"/>
          <w:b w:val="0"/>
          <w:bCs w:val="0"/>
          <w:color w:val="auto"/>
          <w:highlight w:val="none"/>
          <w:u w:val="none"/>
          <w:lang w:val="en-US" w:eastAsia="zh-CN"/>
        </w:rPr>
        <w:t>，</w:t>
      </w:r>
      <w:r>
        <w:rPr>
          <w:rFonts w:hint="default" w:ascii="Times New Roman" w:hAnsi="Times New Roman" w:eastAsia="仿宋_GB2312" w:cs="Times New Roman"/>
          <w:b w:val="0"/>
          <w:bCs w:val="0"/>
          <w:color w:val="auto"/>
          <w:highlight w:val="none"/>
          <w:u w:val="none"/>
        </w:rPr>
        <w:t>省市财政按再融资额的0.2%给予一次性奖励，叠加奖励最高150万元。</w:t>
      </w:r>
    </w:p>
    <w:p w14:paraId="16407A76">
      <w:pPr>
        <w:widowControl w:val="0"/>
        <w:adjustRightInd/>
        <w:snapToGrid/>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w:t>
      </w:r>
      <w:r>
        <w:rPr>
          <w:rFonts w:hint="default" w:ascii="Times New Roman" w:hAnsi="Times New Roman" w:cs="Times New Roman"/>
          <w:b w:val="0"/>
          <w:bCs w:val="0"/>
          <w:color w:val="auto"/>
          <w:highlight w:val="none"/>
          <w:u w:val="none"/>
          <w:lang w:val="en-US" w:eastAsia="zh-CN"/>
        </w:rPr>
        <w:t>6</w:t>
      </w:r>
      <w:r>
        <w:rPr>
          <w:rFonts w:hint="default" w:ascii="Times New Roman" w:hAnsi="Times New Roman" w:eastAsia="仿宋_GB2312" w:cs="Times New Roman"/>
          <w:b w:val="0"/>
          <w:bCs w:val="0"/>
          <w:color w:val="auto"/>
          <w:highlight w:val="none"/>
          <w:u w:val="none"/>
        </w:rPr>
        <w:t>.股权投资企业投资我省早期（种子期、初创期）科技型企业的实际投资额低于5000万元（含）部分，省市财政按照10%比例进行奖励；超过5000万元低于1亿元（含）部分，省市财政按照5%比例进行奖励；超过1亿元部分，按照1%比例进行奖励。股权投资企业投资我省非早期科技型企业（不含上市公司）的实际投资额低于1亿元（含）部分，省市财政按照5%比例进行奖励；超过1亿元部分，按照1%比例进行奖励。股权投资企业投资其他类型企业按照实际投资额的1%比例进行奖励。股权投资企业以直接支付现金方式完成股权投资，可在工商变更且实缴投资满2年后，申请本条投资奖励，叠加奖励最高2000万元，对单个投资项目奖励最高不超过100万元。</w:t>
      </w:r>
    </w:p>
    <w:p w14:paraId="5A91D853">
      <w:pPr>
        <w:widowControl w:val="0"/>
        <w:adjustRightInd w:val="0"/>
        <w:snapToGrid w:val="0"/>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cs="Times New Roman"/>
          <w:b w:val="0"/>
          <w:bCs w:val="0"/>
          <w:color w:val="auto"/>
          <w:highlight w:val="none"/>
          <w:u w:val="none"/>
          <w:lang w:val="en-US" w:eastAsia="zh-CN"/>
        </w:rPr>
        <w:t>17.</w:t>
      </w:r>
      <w:r>
        <w:rPr>
          <w:rFonts w:hint="default" w:ascii="Times New Roman" w:hAnsi="Times New Roman" w:eastAsia="仿宋_GB2312" w:cs="Times New Roman"/>
          <w:b w:val="0"/>
          <w:bCs w:val="0"/>
          <w:color w:val="auto"/>
          <w:highlight w:val="none"/>
          <w:u w:val="none"/>
        </w:rPr>
        <w:t>省内股权投资企业、股权投资管理企业（合称股权投资类企业）投资的外省企业迁入我省或设立子公司，符合我省产业链补链强链延链需求且企业实际</w:t>
      </w:r>
      <w:r>
        <w:rPr>
          <w:rFonts w:hint="default" w:ascii="Times New Roman" w:hAnsi="Times New Roman" w:cs="Times New Roman"/>
          <w:b w:val="0"/>
          <w:bCs w:val="0"/>
          <w:color w:val="auto"/>
          <w:highlight w:val="none"/>
          <w:u w:val="none"/>
          <w:lang w:eastAsia="zh-CN"/>
        </w:rPr>
        <w:t>生产</w:t>
      </w:r>
      <w:r>
        <w:rPr>
          <w:rFonts w:hint="default" w:ascii="Times New Roman" w:hAnsi="Times New Roman" w:eastAsia="仿宋_GB2312" w:cs="Times New Roman"/>
          <w:b w:val="0"/>
          <w:bCs w:val="0"/>
          <w:color w:val="auto"/>
          <w:highlight w:val="none"/>
          <w:u w:val="none"/>
        </w:rPr>
        <w:t>运营满1年的，省市财政按实际到位投资额的1%对股权投资类企业给予一次性奖励，叠加奖励最高500万元。</w:t>
      </w:r>
    </w:p>
    <w:p w14:paraId="55C9B239">
      <w:pPr>
        <w:widowControl w:val="0"/>
        <w:adjustRightInd/>
        <w:snapToGrid/>
        <w:spacing w:line="540" w:lineRule="exact"/>
        <w:ind w:firstLine="632" w:firstLineChars="200"/>
        <w:rPr>
          <w:rFonts w:hint="default" w:ascii="Times New Roman" w:hAnsi="Times New Roman" w:eastAsia="仿宋_GB2312" w:cs="Times New Roman"/>
          <w:b w:val="0"/>
          <w:bCs w:val="0"/>
          <w:color w:val="auto"/>
          <w:highlight w:val="none"/>
          <w:u w:val="none"/>
        </w:rPr>
      </w:pPr>
      <w:r>
        <w:rPr>
          <w:rFonts w:hint="default" w:ascii="Times New Roman" w:hAnsi="Times New Roman" w:eastAsia="仿宋_GB2312" w:cs="Times New Roman"/>
          <w:b w:val="0"/>
          <w:bCs w:val="0"/>
          <w:color w:val="auto"/>
          <w:highlight w:val="none"/>
          <w:u w:val="none"/>
        </w:rPr>
        <w:t>1</w:t>
      </w:r>
      <w:r>
        <w:rPr>
          <w:rFonts w:hint="default" w:ascii="Times New Roman" w:hAnsi="Times New Roman" w:cs="Times New Roman"/>
          <w:b w:val="0"/>
          <w:bCs w:val="0"/>
          <w:color w:val="auto"/>
          <w:highlight w:val="none"/>
          <w:u w:val="none"/>
          <w:lang w:val="en-US" w:eastAsia="zh-CN"/>
        </w:rPr>
        <w:t>8</w:t>
      </w:r>
      <w:r>
        <w:rPr>
          <w:rFonts w:hint="default" w:ascii="Times New Roman" w:hAnsi="Times New Roman" w:cs="Times New Roman"/>
          <w:b w:val="0"/>
          <w:bCs w:val="0"/>
          <w:color w:val="auto"/>
          <w:highlight w:val="none"/>
          <w:u w:val="none"/>
          <w:lang w:eastAsia="zh-CN"/>
        </w:rPr>
        <w:t>.</w:t>
      </w:r>
      <w:r>
        <w:rPr>
          <w:rFonts w:hint="default" w:ascii="Times New Roman" w:hAnsi="Times New Roman" w:eastAsia="仿宋_GB2312" w:cs="Times New Roman"/>
          <w:b w:val="0"/>
          <w:bCs w:val="0"/>
          <w:color w:val="auto"/>
          <w:highlight w:val="none"/>
          <w:u w:val="none"/>
        </w:rPr>
        <w:t>对吸引险资支持我省经济社会发展且贡献突出的机构、企业，省市财政按险资投资额的0.1%给予一次性奖励，叠加奖励最高</w:t>
      </w:r>
      <w:r>
        <w:rPr>
          <w:rFonts w:hint="default" w:ascii="Times New Roman" w:hAnsi="Times New Roman" w:cs="Times New Roman"/>
          <w:b w:val="0"/>
          <w:bCs w:val="0"/>
          <w:color w:val="auto"/>
          <w:highlight w:val="none"/>
          <w:u w:val="none"/>
          <w:lang w:eastAsia="zh-CN"/>
        </w:rPr>
        <w:t>2</w:t>
      </w:r>
      <w:r>
        <w:rPr>
          <w:rFonts w:hint="default" w:ascii="Times New Roman" w:hAnsi="Times New Roman" w:cs="Times New Roman"/>
          <w:b w:val="0"/>
          <w:bCs w:val="0"/>
          <w:color w:val="auto"/>
          <w:highlight w:val="none"/>
          <w:u w:val="none"/>
          <w:lang w:val="en-US" w:eastAsia="zh-CN"/>
        </w:rPr>
        <w:t>00</w:t>
      </w:r>
      <w:r>
        <w:rPr>
          <w:rFonts w:hint="default" w:ascii="Times New Roman" w:hAnsi="Times New Roman" w:eastAsia="仿宋_GB2312" w:cs="Times New Roman"/>
          <w:b w:val="0"/>
          <w:bCs w:val="0"/>
          <w:color w:val="auto"/>
          <w:highlight w:val="none"/>
          <w:u w:val="none"/>
        </w:rPr>
        <w:t>万元。</w:t>
      </w:r>
    </w:p>
    <w:p w14:paraId="19BD8107">
      <w:pPr>
        <w:keepNext w:val="0"/>
        <w:keepLines w:val="0"/>
        <w:pageBreakBefore w:val="0"/>
        <w:widowControl w:val="0"/>
        <w:kinsoku/>
        <w:wordWrap/>
        <w:overflowPunct/>
        <w:topLinePunct w:val="0"/>
        <w:autoSpaceDE/>
        <w:autoSpaceDN/>
        <w:bidi w:val="0"/>
        <w:adjustRightInd w:val="0"/>
        <w:snapToGrid w:val="0"/>
        <w:spacing w:line="540" w:lineRule="exact"/>
        <w:ind w:left="0" w:firstLine="632" w:firstLineChars="200"/>
        <w:jc w:val="left"/>
        <w:textAlignment w:val="auto"/>
        <w:outlineLvl w:val="9"/>
        <w:rPr>
          <w:rFonts w:hint="default" w:ascii="Times New Roman" w:hAnsi="Times New Roman" w:eastAsia="黑体" w:cs="Times New Roman"/>
          <w:sz w:val="32"/>
          <w:szCs w:val="32"/>
          <w:highlight w:val="none"/>
          <w:u w:val="none"/>
          <w:lang w:val="en-US" w:eastAsia="zh-CN"/>
        </w:rPr>
      </w:pPr>
      <w:r>
        <w:rPr>
          <w:rFonts w:hint="default" w:ascii="Times New Roman" w:hAnsi="Times New Roman" w:eastAsia="黑体" w:cs="Times New Roman"/>
          <w:b w:val="0"/>
          <w:bCs w:val="0"/>
          <w:color w:val="auto"/>
          <w:highlight w:val="none"/>
          <w:u w:val="none"/>
          <w:lang w:val="en-US" w:eastAsia="zh-CN"/>
        </w:rPr>
        <w:t>三</w:t>
      </w:r>
      <w:r>
        <w:rPr>
          <w:rFonts w:hint="default" w:ascii="Times New Roman" w:hAnsi="Times New Roman" w:eastAsia="黑体" w:cs="Times New Roman"/>
          <w:b w:val="0"/>
          <w:bCs w:val="0"/>
          <w:color w:val="auto"/>
          <w:highlight w:val="none"/>
          <w:u w:val="none"/>
        </w:rPr>
        <w:t>、</w:t>
      </w:r>
      <w:r>
        <w:rPr>
          <w:rFonts w:hint="default" w:ascii="Times New Roman" w:hAnsi="Times New Roman" w:eastAsia="黑体" w:cs="Times New Roman"/>
          <w:sz w:val="32"/>
          <w:szCs w:val="32"/>
          <w:highlight w:val="none"/>
          <w:u w:val="none"/>
          <w:lang w:val="en-US" w:eastAsia="zh-CN"/>
        </w:rPr>
        <w:t>通报表彰</w:t>
      </w:r>
    </w:p>
    <w:p w14:paraId="6A6CBB2B">
      <w:pPr>
        <w:widowControl w:val="0"/>
        <w:numPr>
          <w:ilvl w:val="-1"/>
          <w:numId w:val="0"/>
        </w:numPr>
        <w:spacing w:before="0" w:line="540" w:lineRule="exact"/>
        <w:ind w:left="0" w:firstLine="632" w:firstLineChars="200"/>
        <w:outlineLvl w:val="9"/>
        <w:rPr>
          <w:rFonts w:hint="default" w:ascii="Times New Roman" w:hAnsi="Times New Roman" w:eastAsia="仿宋_GB2312" w:cs="Times New Roman"/>
          <w:b w:val="0"/>
          <w:bCs w:val="0"/>
          <w:color w:val="auto"/>
          <w:spacing w:val="0"/>
          <w:sz w:val="32"/>
          <w:szCs w:val="32"/>
          <w:highlight w:val="none"/>
          <w:u w:val="none"/>
        </w:rPr>
      </w:pPr>
      <w:r>
        <w:rPr>
          <w:rFonts w:hint="default" w:ascii="Times New Roman" w:hAnsi="Times New Roman" w:cs="Times New Roman"/>
          <w:color w:val="auto"/>
          <w:sz w:val="32"/>
          <w:szCs w:val="32"/>
          <w:highlight w:val="none"/>
          <w:u w:val="none"/>
          <w:lang w:val="en-US" w:eastAsia="zh-CN"/>
        </w:rPr>
        <w:t>19</w:t>
      </w:r>
      <w:r>
        <w:rPr>
          <w:rFonts w:hint="default" w:ascii="Times New Roman" w:hAnsi="Times New Roman" w:eastAsia="仿宋_GB2312" w:cs="Times New Roman"/>
          <w:color w:val="auto"/>
          <w:sz w:val="32"/>
          <w:szCs w:val="32"/>
          <w:highlight w:val="none"/>
          <w:u w:val="none"/>
          <w:lang w:val="en-US" w:eastAsia="zh-CN"/>
        </w:rPr>
        <w:t>.省委金融工委</w:t>
      </w:r>
      <w:r>
        <w:rPr>
          <w:rFonts w:hint="default" w:ascii="Times New Roman" w:hAnsi="Times New Roman" w:eastAsia="仿宋_GB2312" w:cs="Times New Roman"/>
          <w:b w:val="0"/>
          <w:bCs w:val="0"/>
          <w:color w:val="auto"/>
          <w:highlight w:val="none"/>
          <w:u w:val="none"/>
        </w:rPr>
        <w:t>对</w:t>
      </w:r>
      <w:r>
        <w:rPr>
          <w:rFonts w:hint="default" w:ascii="Times New Roman" w:hAnsi="Times New Roman" w:cs="Times New Roman"/>
          <w:b w:val="0"/>
          <w:bCs w:val="0"/>
          <w:color w:val="auto"/>
          <w:highlight w:val="none"/>
          <w:u w:val="none"/>
          <w:lang w:eastAsia="zh-CN"/>
        </w:rPr>
        <w:t>以上获得资金奖励的金融机构</w:t>
      </w:r>
      <w:r>
        <w:rPr>
          <w:rFonts w:hint="default" w:ascii="Times New Roman" w:hAnsi="Times New Roman" w:eastAsia="仿宋_GB2312" w:cs="Times New Roman"/>
          <w:color w:val="auto"/>
          <w:sz w:val="32"/>
          <w:szCs w:val="32"/>
          <w:highlight w:val="none"/>
          <w:u w:val="none"/>
          <w:lang w:val="en-US" w:eastAsia="zh-CN"/>
        </w:rPr>
        <w:t>在全省范围内通报表扬。</w:t>
      </w:r>
    </w:p>
    <w:p w14:paraId="7814D9AA">
      <w:pPr>
        <w:widowControl w:val="0"/>
        <w:spacing w:before="0" w:line="540" w:lineRule="exact"/>
        <w:ind w:left="0" w:firstLine="632" w:firstLineChars="200"/>
        <w:outlineLvl w:val="9"/>
        <w:rPr>
          <w:rFonts w:hint="default" w:ascii="Times New Roman" w:hAnsi="Times New Roman" w:eastAsia="黑体" w:cs="Times New Roman"/>
          <w:b w:val="0"/>
          <w:bCs w:val="0"/>
          <w:color w:val="auto"/>
          <w:sz w:val="32"/>
          <w:szCs w:val="32"/>
          <w:highlight w:val="none"/>
          <w:u w:val="none"/>
        </w:rPr>
      </w:pPr>
      <w:r>
        <w:rPr>
          <w:rFonts w:hint="default" w:ascii="Times New Roman" w:hAnsi="Times New Roman" w:eastAsia="黑体" w:cs="Times New Roman"/>
          <w:b w:val="0"/>
          <w:bCs w:val="0"/>
          <w:color w:val="auto"/>
          <w:spacing w:val="0"/>
          <w:sz w:val="32"/>
          <w:szCs w:val="32"/>
          <w:highlight w:val="none"/>
          <w:u w:val="none"/>
          <w:lang w:eastAsia="zh-CN"/>
        </w:rPr>
        <w:t>四、</w:t>
      </w:r>
      <w:r>
        <w:rPr>
          <w:rFonts w:hint="default" w:ascii="Times New Roman" w:hAnsi="Times New Roman" w:eastAsia="黑体" w:cs="Times New Roman"/>
          <w:b w:val="0"/>
          <w:bCs w:val="0"/>
          <w:color w:val="auto"/>
          <w:spacing w:val="0"/>
          <w:sz w:val="32"/>
          <w:szCs w:val="32"/>
          <w:highlight w:val="none"/>
          <w:u w:val="none"/>
        </w:rPr>
        <w:t>保障措施</w:t>
      </w:r>
    </w:p>
    <w:p w14:paraId="57D86494">
      <w:pPr>
        <w:widowControl w:val="0"/>
        <w:spacing w:before="0" w:line="540" w:lineRule="exact"/>
        <w:ind w:right="0" w:firstLine="632" w:firstLineChars="200"/>
        <w:jc w:val="left"/>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0"/>
          <w:sz w:val="32"/>
          <w:szCs w:val="32"/>
          <w:highlight w:val="none"/>
          <w:u w:val="none"/>
        </w:rPr>
        <w:t>2</w:t>
      </w:r>
      <w:r>
        <w:rPr>
          <w:rFonts w:hint="default" w:ascii="Times New Roman" w:hAnsi="Times New Roman" w:cs="Times New Roman"/>
          <w:b w:val="0"/>
          <w:bCs w:val="0"/>
          <w:color w:val="auto"/>
          <w:spacing w:val="0"/>
          <w:sz w:val="32"/>
          <w:szCs w:val="32"/>
          <w:highlight w:val="none"/>
          <w:u w:val="none"/>
          <w:lang w:val="en-US" w:eastAsia="zh-CN"/>
        </w:rPr>
        <w:t>0</w:t>
      </w:r>
      <w:r>
        <w:rPr>
          <w:rFonts w:hint="default" w:ascii="Times New Roman" w:hAnsi="Times New Roman" w:eastAsia="仿宋_GB2312" w:cs="Times New Roman"/>
          <w:b w:val="0"/>
          <w:bCs w:val="0"/>
          <w:color w:val="auto"/>
          <w:spacing w:val="0"/>
          <w:sz w:val="32"/>
          <w:szCs w:val="32"/>
          <w:highlight w:val="none"/>
          <w:u w:val="none"/>
        </w:rPr>
        <w:t>.强化省市协同，确保政策落实。各市</w:t>
      </w:r>
      <w:r>
        <w:rPr>
          <w:rFonts w:hint="default" w:ascii="Times New Roman" w:hAnsi="Times New Roman"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rPr>
        <w:t>地</w:t>
      </w:r>
      <w:r>
        <w:rPr>
          <w:rFonts w:hint="default" w:ascii="Times New Roman" w:hAnsi="Times New Roman"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rPr>
        <w:t>要结合实际和金融招商重点，</w:t>
      </w:r>
      <w:r>
        <w:rPr>
          <w:rFonts w:hint="default" w:ascii="Times New Roman" w:hAnsi="Times New Roman" w:eastAsia="仿宋_GB2312" w:cs="Times New Roman"/>
          <w:b w:val="0"/>
          <w:bCs w:val="0"/>
          <w:color w:val="auto"/>
          <w:spacing w:val="0"/>
          <w:sz w:val="32"/>
          <w:szCs w:val="32"/>
          <w:highlight w:val="none"/>
          <w:u w:val="none"/>
          <w:lang w:eastAsia="zh-CN"/>
        </w:rPr>
        <w:t>同步调整</w:t>
      </w:r>
      <w:r>
        <w:rPr>
          <w:rFonts w:hint="default" w:ascii="Times New Roman" w:hAnsi="Times New Roman" w:eastAsia="仿宋_GB2312" w:cs="Times New Roman"/>
          <w:b w:val="0"/>
          <w:bCs w:val="0"/>
          <w:color w:val="auto"/>
          <w:spacing w:val="0"/>
          <w:sz w:val="32"/>
          <w:szCs w:val="32"/>
          <w:highlight w:val="none"/>
          <w:u w:val="none"/>
        </w:rPr>
        <w:t>本地金融招商政策措施。涉及省市共同奖补的政策，原则上按照1:1的比例执行，确保省市金融招商政策协同联动、有效落实。省级承担的奖补资金从省级招商引资政策激励资金等渠道统筹解决。</w:t>
      </w:r>
    </w:p>
    <w:p w14:paraId="7A1E5DA2">
      <w:pPr>
        <w:widowControl w:val="0"/>
        <w:spacing w:before="0" w:line="540" w:lineRule="exact"/>
        <w:ind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0"/>
          <w:sz w:val="32"/>
          <w:szCs w:val="32"/>
          <w:highlight w:val="none"/>
          <w:u w:val="none"/>
        </w:rPr>
        <w:t>2</w:t>
      </w:r>
      <w:r>
        <w:rPr>
          <w:rFonts w:hint="default" w:ascii="Times New Roman" w:hAnsi="Times New Roman" w:cs="Times New Roman"/>
          <w:b w:val="0"/>
          <w:bCs w:val="0"/>
          <w:color w:val="auto"/>
          <w:spacing w:val="0"/>
          <w:sz w:val="32"/>
          <w:szCs w:val="32"/>
          <w:highlight w:val="none"/>
          <w:u w:val="none"/>
          <w:lang w:val="en-US" w:eastAsia="zh-CN"/>
        </w:rPr>
        <w:t>1</w:t>
      </w:r>
      <w:r>
        <w:rPr>
          <w:rFonts w:hint="default" w:ascii="Times New Roman" w:hAnsi="Times New Roman" w:eastAsia="仿宋_GB2312" w:cs="Times New Roman"/>
          <w:b w:val="0"/>
          <w:bCs w:val="0"/>
          <w:color w:val="auto"/>
          <w:spacing w:val="0"/>
          <w:sz w:val="32"/>
          <w:szCs w:val="32"/>
          <w:highlight w:val="none"/>
          <w:u w:val="none"/>
        </w:rPr>
        <w:t>.提升政务服务，健全信用体系。各行业主管监管部门要密切协调配合，各级政府要落实属地责任，在金融机构注册设立、金融牌照申请、投融资合作、业务创新拓展等方面简化流程、提高效率，实行“专员全程代办制”。加强省级</w:t>
      </w:r>
      <w:r>
        <w:rPr>
          <w:rFonts w:hint="default" w:ascii="Times New Roman" w:hAnsi="Times New Roman" w:eastAsia="仿宋_GB2312" w:cs="Times New Roman"/>
          <w:b w:val="0"/>
          <w:bCs w:val="0"/>
          <w:color w:val="auto"/>
          <w:spacing w:val="0"/>
          <w:sz w:val="32"/>
          <w:szCs w:val="32"/>
          <w:highlight w:val="none"/>
          <w:u w:val="none"/>
          <w:lang w:eastAsia="zh-CN"/>
        </w:rPr>
        <w:t>征信</w:t>
      </w:r>
      <w:r>
        <w:rPr>
          <w:rFonts w:hint="default" w:ascii="Times New Roman" w:hAnsi="Times New Roman" w:eastAsia="仿宋_GB2312" w:cs="Times New Roman"/>
          <w:b w:val="0"/>
          <w:bCs w:val="0"/>
          <w:color w:val="auto"/>
          <w:spacing w:val="0"/>
          <w:sz w:val="32"/>
          <w:szCs w:val="32"/>
          <w:highlight w:val="none"/>
          <w:u w:val="none"/>
        </w:rPr>
        <w:t>平台建设，推动公共信用信息在金融领域共享应用，为金融机构服务实体经济提供精准信用数据支撑。</w:t>
      </w:r>
    </w:p>
    <w:p w14:paraId="47BA999A">
      <w:pPr>
        <w:widowControl w:val="0"/>
        <w:spacing w:before="0" w:line="540" w:lineRule="exact"/>
        <w:ind w:left="0" w:right="0" w:firstLine="632" w:firstLineChars="200"/>
        <w:rPr>
          <w:rFonts w:hint="default" w:ascii="Times New Roman" w:hAnsi="Times New Roman" w:eastAsia="仿宋_GB2312" w:cs="Times New Roman"/>
          <w:b w:val="0"/>
          <w:bCs w:val="0"/>
          <w:color w:val="auto"/>
          <w:sz w:val="32"/>
          <w:szCs w:val="32"/>
          <w:highlight w:val="none"/>
          <w:u w:val="none"/>
        </w:rPr>
      </w:pPr>
      <w:r>
        <w:rPr>
          <w:rFonts w:hint="default" w:ascii="Times New Roman" w:hAnsi="Times New Roman" w:eastAsia="仿宋_GB2312" w:cs="Times New Roman"/>
          <w:b w:val="0"/>
          <w:bCs w:val="0"/>
          <w:color w:val="auto"/>
          <w:spacing w:val="0"/>
          <w:sz w:val="32"/>
          <w:szCs w:val="32"/>
          <w:highlight w:val="none"/>
          <w:u w:val="none"/>
        </w:rPr>
        <w:t>2</w:t>
      </w:r>
      <w:r>
        <w:rPr>
          <w:rFonts w:hint="default" w:ascii="Times New Roman" w:hAnsi="Times New Roman" w:cs="Times New Roman"/>
          <w:b w:val="0"/>
          <w:bCs w:val="0"/>
          <w:color w:val="auto"/>
          <w:spacing w:val="0"/>
          <w:sz w:val="32"/>
          <w:szCs w:val="32"/>
          <w:highlight w:val="none"/>
          <w:u w:val="none"/>
          <w:lang w:val="en-US" w:eastAsia="zh-CN"/>
        </w:rPr>
        <w:t>2</w:t>
      </w:r>
      <w:r>
        <w:rPr>
          <w:rFonts w:hint="default" w:ascii="Times New Roman" w:hAnsi="Times New Roman" w:eastAsia="仿宋_GB2312" w:cs="Times New Roman"/>
          <w:b w:val="0"/>
          <w:bCs w:val="0"/>
          <w:color w:val="auto"/>
          <w:spacing w:val="0"/>
          <w:sz w:val="32"/>
          <w:szCs w:val="32"/>
          <w:highlight w:val="none"/>
          <w:u w:val="none"/>
        </w:rPr>
        <w:t>.推动司法创新，防范金融风险。金融机构或其法定代表人、实际控制人等责任主体在企业经营过程中存在严重失信行为被相关部门列入违规失信</w:t>
      </w:r>
      <w:r>
        <w:rPr>
          <w:rFonts w:hint="default" w:ascii="Times New Roman" w:hAnsi="Times New Roman" w:eastAsia="仿宋_GB2312" w:cs="Times New Roman"/>
          <w:b w:val="0"/>
          <w:bCs w:val="0"/>
          <w:color w:val="auto"/>
          <w:spacing w:val="0"/>
          <w:sz w:val="32"/>
          <w:szCs w:val="32"/>
          <w:highlight w:val="none"/>
          <w:u w:val="none"/>
          <w:lang w:eastAsia="zh-CN"/>
        </w:rPr>
        <w:t>联合</w:t>
      </w:r>
      <w:r>
        <w:rPr>
          <w:rFonts w:hint="default" w:ascii="Times New Roman" w:hAnsi="Times New Roman" w:eastAsia="仿宋_GB2312" w:cs="Times New Roman"/>
          <w:b w:val="0"/>
          <w:bCs w:val="0"/>
          <w:color w:val="auto"/>
          <w:spacing w:val="0"/>
          <w:sz w:val="32"/>
          <w:szCs w:val="32"/>
          <w:highlight w:val="none"/>
          <w:u w:val="none"/>
        </w:rPr>
        <w:t>惩戒黑名单的，不得享受相关奖补政策。</w:t>
      </w:r>
    </w:p>
    <w:p w14:paraId="1BE35F24">
      <w:pPr>
        <w:widowControl w:val="0"/>
        <w:adjustRightInd/>
        <w:snapToGrid/>
        <w:spacing w:line="540" w:lineRule="exact"/>
        <w:ind w:firstLine="632" w:firstLineChars="200"/>
        <w:rPr>
          <w:rFonts w:hint="default" w:ascii="Times New Roman" w:hAnsi="Times New Roman" w:eastAsia="仿宋_GB2312" w:cs="Times New Roman"/>
          <w:b w:val="0"/>
          <w:bCs w:val="0"/>
          <w:color w:val="auto"/>
          <w:highlight w:val="none"/>
          <w:u w:val="none"/>
          <w:lang w:val="en-US" w:eastAsia="zh-CN"/>
        </w:rPr>
      </w:pPr>
      <w:r>
        <w:rPr>
          <w:rFonts w:hint="default" w:ascii="Times New Roman" w:hAnsi="Times New Roman" w:eastAsia="仿宋_GB2312" w:cs="Times New Roman"/>
          <w:b w:val="0"/>
          <w:bCs w:val="0"/>
          <w:color w:val="auto"/>
          <w:spacing w:val="0"/>
          <w:sz w:val="32"/>
          <w:szCs w:val="32"/>
          <w:highlight w:val="none"/>
          <w:u w:val="none"/>
        </w:rPr>
        <w:t>本政策措施自印发之日起施行，有效期3年。如本政策有效期届满，但相关奖励资金拨付尚未结束的，应继续完成资金拨付。对同一奖补对象、同一事项可同时获得多类省级资金支持的，按照不重复原则执行。凡我省现行相关文件规定的同类条款与本政策措施不一致的，以本政策措施为准。有效期内各市</w:t>
      </w:r>
      <w:r>
        <w:rPr>
          <w:rFonts w:hint="default" w:ascii="Times New Roman" w:hAnsi="Times New Roman"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rPr>
        <w:t>地</w:t>
      </w:r>
      <w:r>
        <w:rPr>
          <w:rFonts w:hint="default" w:ascii="Times New Roman" w:hAnsi="Times New Roman" w:cs="Times New Roman"/>
          <w:b w:val="0"/>
          <w:bCs w:val="0"/>
          <w:color w:val="auto"/>
          <w:spacing w:val="0"/>
          <w:sz w:val="32"/>
          <w:szCs w:val="32"/>
          <w:highlight w:val="none"/>
          <w:u w:val="none"/>
          <w:lang w:eastAsia="zh-CN"/>
        </w:rPr>
        <w:t>）</w:t>
      </w:r>
      <w:r>
        <w:rPr>
          <w:rFonts w:hint="default" w:ascii="Times New Roman" w:hAnsi="Times New Roman" w:eastAsia="仿宋_GB2312" w:cs="Times New Roman"/>
          <w:b w:val="0"/>
          <w:bCs w:val="0"/>
          <w:color w:val="auto"/>
          <w:spacing w:val="0"/>
          <w:sz w:val="32"/>
          <w:szCs w:val="32"/>
          <w:highlight w:val="none"/>
          <w:u w:val="none"/>
        </w:rPr>
        <w:t>已有或新出台更优惠政策，在</w:t>
      </w:r>
      <w:r>
        <w:rPr>
          <w:rFonts w:hint="default" w:ascii="Times New Roman" w:hAnsi="Times New Roman" w:cs="Times New Roman"/>
          <w:b w:val="0"/>
          <w:bCs w:val="0"/>
          <w:color w:val="auto"/>
          <w:spacing w:val="0"/>
          <w:sz w:val="32"/>
          <w:szCs w:val="32"/>
          <w:highlight w:val="none"/>
          <w:u w:val="none"/>
          <w:lang w:eastAsia="zh-CN"/>
        </w:rPr>
        <w:t>合法合规且</w:t>
      </w:r>
      <w:r>
        <w:rPr>
          <w:rFonts w:hint="default" w:ascii="Times New Roman" w:hAnsi="Times New Roman" w:eastAsia="仿宋_GB2312" w:cs="Times New Roman"/>
          <w:b w:val="0"/>
          <w:bCs w:val="0"/>
          <w:color w:val="auto"/>
          <w:spacing w:val="0"/>
          <w:sz w:val="32"/>
          <w:szCs w:val="32"/>
          <w:highlight w:val="none"/>
          <w:u w:val="none"/>
        </w:rPr>
        <w:t>不与本政策措施发生冲突的情况下，可自行安排</w:t>
      </w:r>
      <w:r>
        <w:rPr>
          <w:rFonts w:hint="default" w:ascii="Times New Roman" w:hAnsi="Times New Roman" w:cs="Times New Roman"/>
          <w:b w:val="0"/>
          <w:bCs w:val="0"/>
          <w:color w:val="auto"/>
          <w:spacing w:val="0"/>
          <w:sz w:val="32"/>
          <w:szCs w:val="32"/>
          <w:highlight w:val="none"/>
          <w:u w:val="none"/>
          <w:lang w:eastAsia="zh-CN"/>
        </w:rPr>
        <w:t>。</w:t>
      </w:r>
    </w:p>
    <w:sectPr>
      <w:footerReference r:id="rId5" w:type="default"/>
      <w:pgSz w:w="11906" w:h="16838"/>
      <w:pgMar w:top="2098" w:right="1531" w:bottom="1418" w:left="1531" w:header="851" w:footer="794" w:gutter="0"/>
      <w:cols w:space="425"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85241141"/>
    </w:sdtPr>
    <w:sdtEndPr>
      <w:rPr>
        <w:rFonts w:ascii="Times New Roman" w:hAnsi="Times New Roman" w:cs="Times New Roman"/>
        <w:sz w:val="21"/>
        <w:szCs w:val="21"/>
      </w:rPr>
    </w:sdtEndPr>
    <w:sdtContent>
      <w:p w14:paraId="7622DD85">
        <w:pPr>
          <w:pStyle w:val="6"/>
          <w:jc w:val="center"/>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PAGE   \* MERGEFORMAT</w:instrText>
        </w:r>
        <w:r>
          <w:rPr>
            <w:rFonts w:ascii="Times New Roman" w:hAnsi="Times New Roman" w:cs="Times New Roman"/>
            <w:sz w:val="21"/>
            <w:szCs w:val="21"/>
          </w:rPr>
          <w:fldChar w:fldCharType="separate"/>
        </w:r>
        <w:r>
          <w:rPr>
            <w:rFonts w:ascii="Times New Roman" w:hAnsi="Times New Roman" w:cs="Times New Roman"/>
            <w:sz w:val="21"/>
            <w:szCs w:val="21"/>
            <w:lang w:val="zh-CN"/>
          </w:rPr>
          <w:t>17</w:t>
        </w:r>
        <w:r>
          <w:rPr>
            <w:rFonts w:ascii="Times New Roman" w:hAnsi="Times New Roman" w:cs="Times New Roman"/>
            <w:sz w:val="21"/>
            <w:szCs w:val="21"/>
          </w:rPr>
          <w:fldChar w:fldCharType="end"/>
        </w:r>
      </w:p>
    </w:sdtContent>
  </w:sdt>
  <w:p w14:paraId="21ED70BE">
    <w:pPr>
      <w:pStyle w:val="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doNotDisplayPageBoundaries w:val="1"/>
  <w:bordersDoNotSurroundHeader w:val="0"/>
  <w:bordersDoNotSurroundFooter w:val="0"/>
  <w:trackRevisions w:val="1"/>
  <w:documentProtection w:enforcement="0"/>
  <w:defaultTabStop w:val="420"/>
  <w:drawingGridHorizontalSpacing w:val="158"/>
  <w:drawingGridVerticalSpacing w:val="579"/>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4MjIzYmYzZWE5ZDVkMjZmZGViNjAzMjI5ZjI1NDgifQ=="/>
  </w:docVars>
  <w:rsids>
    <w:rsidRoot w:val="00DF341D"/>
    <w:rsid w:val="0000088F"/>
    <w:rsid w:val="000015F0"/>
    <w:rsid w:val="0000239A"/>
    <w:rsid w:val="00002F41"/>
    <w:rsid w:val="00010310"/>
    <w:rsid w:val="00016F3D"/>
    <w:rsid w:val="00021103"/>
    <w:rsid w:val="000247A9"/>
    <w:rsid w:val="00024F62"/>
    <w:rsid w:val="00026A7E"/>
    <w:rsid w:val="00031715"/>
    <w:rsid w:val="0003461F"/>
    <w:rsid w:val="000349B0"/>
    <w:rsid w:val="000448AE"/>
    <w:rsid w:val="00052618"/>
    <w:rsid w:val="00052A53"/>
    <w:rsid w:val="0005601B"/>
    <w:rsid w:val="00056BD6"/>
    <w:rsid w:val="00060E79"/>
    <w:rsid w:val="00060FAC"/>
    <w:rsid w:val="00061A3F"/>
    <w:rsid w:val="000629E0"/>
    <w:rsid w:val="00070406"/>
    <w:rsid w:val="00071852"/>
    <w:rsid w:val="00073116"/>
    <w:rsid w:val="00073563"/>
    <w:rsid w:val="00077BBE"/>
    <w:rsid w:val="00080487"/>
    <w:rsid w:val="00080C46"/>
    <w:rsid w:val="000812D1"/>
    <w:rsid w:val="00083EE7"/>
    <w:rsid w:val="00085D04"/>
    <w:rsid w:val="00087B8D"/>
    <w:rsid w:val="000906A0"/>
    <w:rsid w:val="000A130B"/>
    <w:rsid w:val="000A2084"/>
    <w:rsid w:val="000A2FF8"/>
    <w:rsid w:val="000A7D25"/>
    <w:rsid w:val="000B6F77"/>
    <w:rsid w:val="000C1A3F"/>
    <w:rsid w:val="000C2333"/>
    <w:rsid w:val="000C3452"/>
    <w:rsid w:val="000C6197"/>
    <w:rsid w:val="000C7617"/>
    <w:rsid w:val="000D0108"/>
    <w:rsid w:val="000D3355"/>
    <w:rsid w:val="000D3E9F"/>
    <w:rsid w:val="000D642A"/>
    <w:rsid w:val="000D648C"/>
    <w:rsid w:val="000E15AF"/>
    <w:rsid w:val="000E47F1"/>
    <w:rsid w:val="000E559D"/>
    <w:rsid w:val="000F0B19"/>
    <w:rsid w:val="000F39F3"/>
    <w:rsid w:val="000F4B53"/>
    <w:rsid w:val="000F4CDC"/>
    <w:rsid w:val="000F5326"/>
    <w:rsid w:val="00100339"/>
    <w:rsid w:val="0010033A"/>
    <w:rsid w:val="001003E6"/>
    <w:rsid w:val="0010075A"/>
    <w:rsid w:val="001113A7"/>
    <w:rsid w:val="00111D53"/>
    <w:rsid w:val="00112E93"/>
    <w:rsid w:val="001143F7"/>
    <w:rsid w:val="00115161"/>
    <w:rsid w:val="00117562"/>
    <w:rsid w:val="001176F0"/>
    <w:rsid w:val="0012397D"/>
    <w:rsid w:val="001262B0"/>
    <w:rsid w:val="00130B11"/>
    <w:rsid w:val="00132AB1"/>
    <w:rsid w:val="001337F2"/>
    <w:rsid w:val="00134203"/>
    <w:rsid w:val="0013422A"/>
    <w:rsid w:val="001372D4"/>
    <w:rsid w:val="001401CE"/>
    <w:rsid w:val="001405AA"/>
    <w:rsid w:val="001414B5"/>
    <w:rsid w:val="001420A4"/>
    <w:rsid w:val="001434C0"/>
    <w:rsid w:val="00143EEB"/>
    <w:rsid w:val="0014584F"/>
    <w:rsid w:val="001600F7"/>
    <w:rsid w:val="001648BB"/>
    <w:rsid w:val="00165490"/>
    <w:rsid w:val="00166FA0"/>
    <w:rsid w:val="0017283A"/>
    <w:rsid w:val="00172B9B"/>
    <w:rsid w:val="00175109"/>
    <w:rsid w:val="00176F83"/>
    <w:rsid w:val="0018505F"/>
    <w:rsid w:val="00191068"/>
    <w:rsid w:val="001A21FE"/>
    <w:rsid w:val="001A6B64"/>
    <w:rsid w:val="001A7FEB"/>
    <w:rsid w:val="001B1880"/>
    <w:rsid w:val="001B275C"/>
    <w:rsid w:val="001B3A73"/>
    <w:rsid w:val="001B4D1F"/>
    <w:rsid w:val="001B6EEF"/>
    <w:rsid w:val="001C1E94"/>
    <w:rsid w:val="001C3DDA"/>
    <w:rsid w:val="001C6E9A"/>
    <w:rsid w:val="001C72D1"/>
    <w:rsid w:val="001C7497"/>
    <w:rsid w:val="001C7C3F"/>
    <w:rsid w:val="001D0A11"/>
    <w:rsid w:val="001D3880"/>
    <w:rsid w:val="001D633D"/>
    <w:rsid w:val="001E0269"/>
    <w:rsid w:val="001E06F4"/>
    <w:rsid w:val="001E12F7"/>
    <w:rsid w:val="001E19AD"/>
    <w:rsid w:val="001E1B06"/>
    <w:rsid w:val="001E3445"/>
    <w:rsid w:val="001E4CF3"/>
    <w:rsid w:val="001F0C5D"/>
    <w:rsid w:val="001F2370"/>
    <w:rsid w:val="001F2BFC"/>
    <w:rsid w:val="001F611D"/>
    <w:rsid w:val="002007F7"/>
    <w:rsid w:val="00202662"/>
    <w:rsid w:val="00204CC9"/>
    <w:rsid w:val="002112B1"/>
    <w:rsid w:val="002116CC"/>
    <w:rsid w:val="002120D1"/>
    <w:rsid w:val="002178CC"/>
    <w:rsid w:val="00220056"/>
    <w:rsid w:val="0022117F"/>
    <w:rsid w:val="002219ED"/>
    <w:rsid w:val="00224E9A"/>
    <w:rsid w:val="002258EC"/>
    <w:rsid w:val="0022735C"/>
    <w:rsid w:val="00232F00"/>
    <w:rsid w:val="0023552C"/>
    <w:rsid w:val="002448C4"/>
    <w:rsid w:val="002451C8"/>
    <w:rsid w:val="00250277"/>
    <w:rsid w:val="002533D9"/>
    <w:rsid w:val="00254083"/>
    <w:rsid w:val="00255B30"/>
    <w:rsid w:val="002577B9"/>
    <w:rsid w:val="00261FF0"/>
    <w:rsid w:val="00262C20"/>
    <w:rsid w:val="002651BB"/>
    <w:rsid w:val="002762BE"/>
    <w:rsid w:val="00281404"/>
    <w:rsid w:val="0028797E"/>
    <w:rsid w:val="00287B81"/>
    <w:rsid w:val="00292484"/>
    <w:rsid w:val="00295478"/>
    <w:rsid w:val="00295598"/>
    <w:rsid w:val="002964E3"/>
    <w:rsid w:val="002A276E"/>
    <w:rsid w:val="002A4B9D"/>
    <w:rsid w:val="002A7C44"/>
    <w:rsid w:val="002B4343"/>
    <w:rsid w:val="002B4B30"/>
    <w:rsid w:val="002B5D89"/>
    <w:rsid w:val="002B6CD0"/>
    <w:rsid w:val="002B7BD1"/>
    <w:rsid w:val="002C0EEE"/>
    <w:rsid w:val="002C1858"/>
    <w:rsid w:val="002C2562"/>
    <w:rsid w:val="002C4FB0"/>
    <w:rsid w:val="002C57B7"/>
    <w:rsid w:val="002D0720"/>
    <w:rsid w:val="002D2760"/>
    <w:rsid w:val="002D367A"/>
    <w:rsid w:val="002D606F"/>
    <w:rsid w:val="002E33B1"/>
    <w:rsid w:val="002E3447"/>
    <w:rsid w:val="002F1031"/>
    <w:rsid w:val="002F235D"/>
    <w:rsid w:val="00303972"/>
    <w:rsid w:val="00303AF4"/>
    <w:rsid w:val="0030719D"/>
    <w:rsid w:val="003139C8"/>
    <w:rsid w:val="003155B3"/>
    <w:rsid w:val="003172FA"/>
    <w:rsid w:val="00322823"/>
    <w:rsid w:val="00322F33"/>
    <w:rsid w:val="00323EB5"/>
    <w:rsid w:val="003331C9"/>
    <w:rsid w:val="00335E29"/>
    <w:rsid w:val="003407E7"/>
    <w:rsid w:val="00346B96"/>
    <w:rsid w:val="00350D8B"/>
    <w:rsid w:val="0035108E"/>
    <w:rsid w:val="00355883"/>
    <w:rsid w:val="00355FF2"/>
    <w:rsid w:val="00356C70"/>
    <w:rsid w:val="00357BFF"/>
    <w:rsid w:val="00360A04"/>
    <w:rsid w:val="00360EB1"/>
    <w:rsid w:val="00365755"/>
    <w:rsid w:val="00365807"/>
    <w:rsid w:val="003731D2"/>
    <w:rsid w:val="00373F89"/>
    <w:rsid w:val="0037427F"/>
    <w:rsid w:val="00375A2D"/>
    <w:rsid w:val="0039411C"/>
    <w:rsid w:val="003944F9"/>
    <w:rsid w:val="003947A4"/>
    <w:rsid w:val="00394A60"/>
    <w:rsid w:val="00394E6E"/>
    <w:rsid w:val="003957A1"/>
    <w:rsid w:val="003977E4"/>
    <w:rsid w:val="003A4D10"/>
    <w:rsid w:val="003A5704"/>
    <w:rsid w:val="003A7C7E"/>
    <w:rsid w:val="003B28BD"/>
    <w:rsid w:val="003B4072"/>
    <w:rsid w:val="003C27AC"/>
    <w:rsid w:val="003C2D9F"/>
    <w:rsid w:val="003C4143"/>
    <w:rsid w:val="003D0F88"/>
    <w:rsid w:val="003E2365"/>
    <w:rsid w:val="003E3E33"/>
    <w:rsid w:val="003F0B12"/>
    <w:rsid w:val="003F6FB8"/>
    <w:rsid w:val="003F7E6B"/>
    <w:rsid w:val="00402949"/>
    <w:rsid w:val="004036BE"/>
    <w:rsid w:val="00403AA0"/>
    <w:rsid w:val="00404C8E"/>
    <w:rsid w:val="00405FAD"/>
    <w:rsid w:val="0040729C"/>
    <w:rsid w:val="004110A4"/>
    <w:rsid w:val="00412CF0"/>
    <w:rsid w:val="00417444"/>
    <w:rsid w:val="00420651"/>
    <w:rsid w:val="00421780"/>
    <w:rsid w:val="004224DE"/>
    <w:rsid w:val="00433502"/>
    <w:rsid w:val="00437674"/>
    <w:rsid w:val="0044240C"/>
    <w:rsid w:val="00442782"/>
    <w:rsid w:val="004474E1"/>
    <w:rsid w:val="0044781B"/>
    <w:rsid w:val="00451A1F"/>
    <w:rsid w:val="004534BE"/>
    <w:rsid w:val="0045371A"/>
    <w:rsid w:val="00453DB4"/>
    <w:rsid w:val="00456364"/>
    <w:rsid w:val="00456C9C"/>
    <w:rsid w:val="0046332D"/>
    <w:rsid w:val="004637DB"/>
    <w:rsid w:val="00463B26"/>
    <w:rsid w:val="00465D34"/>
    <w:rsid w:val="0046703D"/>
    <w:rsid w:val="00467437"/>
    <w:rsid w:val="00467B22"/>
    <w:rsid w:val="0047021E"/>
    <w:rsid w:val="004726FC"/>
    <w:rsid w:val="0047298C"/>
    <w:rsid w:val="00472CC3"/>
    <w:rsid w:val="00477511"/>
    <w:rsid w:val="00481553"/>
    <w:rsid w:val="00483601"/>
    <w:rsid w:val="0049114A"/>
    <w:rsid w:val="004A1E69"/>
    <w:rsid w:val="004A39FB"/>
    <w:rsid w:val="004A4B2E"/>
    <w:rsid w:val="004A7F09"/>
    <w:rsid w:val="004B02EC"/>
    <w:rsid w:val="004B04BA"/>
    <w:rsid w:val="004B3618"/>
    <w:rsid w:val="004B536C"/>
    <w:rsid w:val="004B7343"/>
    <w:rsid w:val="004C4C2C"/>
    <w:rsid w:val="004C57B6"/>
    <w:rsid w:val="004D6280"/>
    <w:rsid w:val="004D7390"/>
    <w:rsid w:val="004E07F0"/>
    <w:rsid w:val="004E2EDE"/>
    <w:rsid w:val="004E33F9"/>
    <w:rsid w:val="004E6475"/>
    <w:rsid w:val="004F0820"/>
    <w:rsid w:val="004F0CCE"/>
    <w:rsid w:val="004F4E6E"/>
    <w:rsid w:val="004F5230"/>
    <w:rsid w:val="004F56A1"/>
    <w:rsid w:val="0050186A"/>
    <w:rsid w:val="005026A5"/>
    <w:rsid w:val="005067B3"/>
    <w:rsid w:val="00510063"/>
    <w:rsid w:val="00510626"/>
    <w:rsid w:val="005118EC"/>
    <w:rsid w:val="00512F4C"/>
    <w:rsid w:val="00515D29"/>
    <w:rsid w:val="00516DC2"/>
    <w:rsid w:val="00524C36"/>
    <w:rsid w:val="00526E51"/>
    <w:rsid w:val="00530222"/>
    <w:rsid w:val="00532D8B"/>
    <w:rsid w:val="00533A5B"/>
    <w:rsid w:val="00534BE3"/>
    <w:rsid w:val="00535BD5"/>
    <w:rsid w:val="005413D5"/>
    <w:rsid w:val="00545C79"/>
    <w:rsid w:val="00546DF2"/>
    <w:rsid w:val="00550F5A"/>
    <w:rsid w:val="00551664"/>
    <w:rsid w:val="00552E2B"/>
    <w:rsid w:val="00555F35"/>
    <w:rsid w:val="00556850"/>
    <w:rsid w:val="00557CDB"/>
    <w:rsid w:val="00560836"/>
    <w:rsid w:val="00561642"/>
    <w:rsid w:val="005632BD"/>
    <w:rsid w:val="00571846"/>
    <w:rsid w:val="00572F68"/>
    <w:rsid w:val="005738EC"/>
    <w:rsid w:val="00576283"/>
    <w:rsid w:val="00577AF3"/>
    <w:rsid w:val="00584897"/>
    <w:rsid w:val="00590F62"/>
    <w:rsid w:val="00595966"/>
    <w:rsid w:val="00597229"/>
    <w:rsid w:val="005A26C2"/>
    <w:rsid w:val="005A3394"/>
    <w:rsid w:val="005A561E"/>
    <w:rsid w:val="005B0A47"/>
    <w:rsid w:val="005B0BB3"/>
    <w:rsid w:val="005B60A2"/>
    <w:rsid w:val="005C473D"/>
    <w:rsid w:val="005D0966"/>
    <w:rsid w:val="005D6240"/>
    <w:rsid w:val="005E337E"/>
    <w:rsid w:val="005E792F"/>
    <w:rsid w:val="005F0AA3"/>
    <w:rsid w:val="005F0CB9"/>
    <w:rsid w:val="005F0DD0"/>
    <w:rsid w:val="005F1C8A"/>
    <w:rsid w:val="005F4966"/>
    <w:rsid w:val="005F5132"/>
    <w:rsid w:val="006026D8"/>
    <w:rsid w:val="00603191"/>
    <w:rsid w:val="00604C4B"/>
    <w:rsid w:val="006056EE"/>
    <w:rsid w:val="00610E7B"/>
    <w:rsid w:val="006118E6"/>
    <w:rsid w:val="00614275"/>
    <w:rsid w:val="0062155F"/>
    <w:rsid w:val="00624810"/>
    <w:rsid w:val="00624A73"/>
    <w:rsid w:val="00624EF8"/>
    <w:rsid w:val="00624F91"/>
    <w:rsid w:val="0062509D"/>
    <w:rsid w:val="00632351"/>
    <w:rsid w:val="0063338C"/>
    <w:rsid w:val="00643A2F"/>
    <w:rsid w:val="00646298"/>
    <w:rsid w:val="00647344"/>
    <w:rsid w:val="0065490B"/>
    <w:rsid w:val="00656DFD"/>
    <w:rsid w:val="00662D8D"/>
    <w:rsid w:val="00673C38"/>
    <w:rsid w:val="00674307"/>
    <w:rsid w:val="006748B6"/>
    <w:rsid w:val="00690E6C"/>
    <w:rsid w:val="00690F4F"/>
    <w:rsid w:val="00693D14"/>
    <w:rsid w:val="00696AEF"/>
    <w:rsid w:val="006A05F0"/>
    <w:rsid w:val="006A17DC"/>
    <w:rsid w:val="006A3068"/>
    <w:rsid w:val="006A383E"/>
    <w:rsid w:val="006A456D"/>
    <w:rsid w:val="006A6C81"/>
    <w:rsid w:val="006B1D3C"/>
    <w:rsid w:val="006B1F0D"/>
    <w:rsid w:val="006B27EA"/>
    <w:rsid w:val="006B6AE7"/>
    <w:rsid w:val="006C1386"/>
    <w:rsid w:val="006C194E"/>
    <w:rsid w:val="006C42A7"/>
    <w:rsid w:val="006C52D4"/>
    <w:rsid w:val="006C5441"/>
    <w:rsid w:val="006D027F"/>
    <w:rsid w:val="006D67C4"/>
    <w:rsid w:val="006D7B07"/>
    <w:rsid w:val="006E0980"/>
    <w:rsid w:val="006E09E6"/>
    <w:rsid w:val="006E2E03"/>
    <w:rsid w:val="006E4524"/>
    <w:rsid w:val="006E476E"/>
    <w:rsid w:val="006E5BDB"/>
    <w:rsid w:val="006F1923"/>
    <w:rsid w:val="006F68C3"/>
    <w:rsid w:val="00705FC1"/>
    <w:rsid w:val="0071107B"/>
    <w:rsid w:val="00713168"/>
    <w:rsid w:val="00716580"/>
    <w:rsid w:val="00722B17"/>
    <w:rsid w:val="007233EE"/>
    <w:rsid w:val="00724670"/>
    <w:rsid w:val="00725950"/>
    <w:rsid w:val="007337F8"/>
    <w:rsid w:val="00734A47"/>
    <w:rsid w:val="00734FC2"/>
    <w:rsid w:val="007402C7"/>
    <w:rsid w:val="0074143D"/>
    <w:rsid w:val="007421BF"/>
    <w:rsid w:val="007433F2"/>
    <w:rsid w:val="00743A72"/>
    <w:rsid w:val="00744A10"/>
    <w:rsid w:val="00744AF3"/>
    <w:rsid w:val="0074560A"/>
    <w:rsid w:val="00751958"/>
    <w:rsid w:val="007538CB"/>
    <w:rsid w:val="00753BD9"/>
    <w:rsid w:val="007545FF"/>
    <w:rsid w:val="00757A77"/>
    <w:rsid w:val="00762402"/>
    <w:rsid w:val="0076364A"/>
    <w:rsid w:val="00763F73"/>
    <w:rsid w:val="00772748"/>
    <w:rsid w:val="00773D8A"/>
    <w:rsid w:val="00780186"/>
    <w:rsid w:val="00782EB7"/>
    <w:rsid w:val="00784B0F"/>
    <w:rsid w:val="007952F1"/>
    <w:rsid w:val="007A0768"/>
    <w:rsid w:val="007A3AEB"/>
    <w:rsid w:val="007A6CCF"/>
    <w:rsid w:val="007B73C5"/>
    <w:rsid w:val="007C05B1"/>
    <w:rsid w:val="007C1CFC"/>
    <w:rsid w:val="007C23E3"/>
    <w:rsid w:val="007C2B34"/>
    <w:rsid w:val="007C52FA"/>
    <w:rsid w:val="007C5B8E"/>
    <w:rsid w:val="007E541A"/>
    <w:rsid w:val="007F1345"/>
    <w:rsid w:val="007F1BB7"/>
    <w:rsid w:val="007F23A8"/>
    <w:rsid w:val="007F45A9"/>
    <w:rsid w:val="00800894"/>
    <w:rsid w:val="00806327"/>
    <w:rsid w:val="00812BA0"/>
    <w:rsid w:val="0082542C"/>
    <w:rsid w:val="00826AA3"/>
    <w:rsid w:val="008301DC"/>
    <w:rsid w:val="00832A6F"/>
    <w:rsid w:val="00835E28"/>
    <w:rsid w:val="00835E4D"/>
    <w:rsid w:val="00836792"/>
    <w:rsid w:val="00843131"/>
    <w:rsid w:val="00843D3E"/>
    <w:rsid w:val="00844E99"/>
    <w:rsid w:val="00846A41"/>
    <w:rsid w:val="00846E86"/>
    <w:rsid w:val="0084715C"/>
    <w:rsid w:val="00852F3B"/>
    <w:rsid w:val="0085576D"/>
    <w:rsid w:val="008559B5"/>
    <w:rsid w:val="00866DA5"/>
    <w:rsid w:val="008674EC"/>
    <w:rsid w:val="00867E44"/>
    <w:rsid w:val="008754EA"/>
    <w:rsid w:val="00885736"/>
    <w:rsid w:val="0088627A"/>
    <w:rsid w:val="0088722A"/>
    <w:rsid w:val="00887E5D"/>
    <w:rsid w:val="00890359"/>
    <w:rsid w:val="0089119B"/>
    <w:rsid w:val="00891322"/>
    <w:rsid w:val="00896223"/>
    <w:rsid w:val="008B37A7"/>
    <w:rsid w:val="008B4304"/>
    <w:rsid w:val="008B5BED"/>
    <w:rsid w:val="008C1F0B"/>
    <w:rsid w:val="008C208A"/>
    <w:rsid w:val="008C383F"/>
    <w:rsid w:val="008C4011"/>
    <w:rsid w:val="008C5922"/>
    <w:rsid w:val="008C6426"/>
    <w:rsid w:val="008D1820"/>
    <w:rsid w:val="008D19B4"/>
    <w:rsid w:val="008D2F80"/>
    <w:rsid w:val="008D39BF"/>
    <w:rsid w:val="008E2B65"/>
    <w:rsid w:val="008E7022"/>
    <w:rsid w:val="008E79C0"/>
    <w:rsid w:val="008F342F"/>
    <w:rsid w:val="008F5E67"/>
    <w:rsid w:val="00900604"/>
    <w:rsid w:val="00901EC9"/>
    <w:rsid w:val="009121FF"/>
    <w:rsid w:val="00912F25"/>
    <w:rsid w:val="009173EA"/>
    <w:rsid w:val="00923087"/>
    <w:rsid w:val="0093692D"/>
    <w:rsid w:val="0094101E"/>
    <w:rsid w:val="009410D9"/>
    <w:rsid w:val="0094476F"/>
    <w:rsid w:val="00945E6D"/>
    <w:rsid w:val="00950535"/>
    <w:rsid w:val="00955A79"/>
    <w:rsid w:val="0096167E"/>
    <w:rsid w:val="00967F32"/>
    <w:rsid w:val="00970D56"/>
    <w:rsid w:val="00970EFE"/>
    <w:rsid w:val="0097107C"/>
    <w:rsid w:val="009775BC"/>
    <w:rsid w:val="00981F71"/>
    <w:rsid w:val="009821D7"/>
    <w:rsid w:val="00982621"/>
    <w:rsid w:val="00982E21"/>
    <w:rsid w:val="00982F2D"/>
    <w:rsid w:val="009845E6"/>
    <w:rsid w:val="00984E39"/>
    <w:rsid w:val="00990D03"/>
    <w:rsid w:val="00993110"/>
    <w:rsid w:val="00994006"/>
    <w:rsid w:val="00994A63"/>
    <w:rsid w:val="00995748"/>
    <w:rsid w:val="009A0403"/>
    <w:rsid w:val="009A2509"/>
    <w:rsid w:val="009A3091"/>
    <w:rsid w:val="009A39B3"/>
    <w:rsid w:val="009A45F4"/>
    <w:rsid w:val="009A698D"/>
    <w:rsid w:val="009B09F7"/>
    <w:rsid w:val="009B1DAF"/>
    <w:rsid w:val="009B4C5E"/>
    <w:rsid w:val="009B69C1"/>
    <w:rsid w:val="009B7245"/>
    <w:rsid w:val="009C20FB"/>
    <w:rsid w:val="009C3A63"/>
    <w:rsid w:val="009C3DDA"/>
    <w:rsid w:val="009C52D2"/>
    <w:rsid w:val="009C6C35"/>
    <w:rsid w:val="009D1DE0"/>
    <w:rsid w:val="009D2939"/>
    <w:rsid w:val="009D2F8D"/>
    <w:rsid w:val="009D3F7C"/>
    <w:rsid w:val="009D4924"/>
    <w:rsid w:val="009D4DB6"/>
    <w:rsid w:val="009E6383"/>
    <w:rsid w:val="009E63F8"/>
    <w:rsid w:val="009E67E3"/>
    <w:rsid w:val="009E745E"/>
    <w:rsid w:val="009E7E6B"/>
    <w:rsid w:val="009F3980"/>
    <w:rsid w:val="00A0047A"/>
    <w:rsid w:val="00A11B65"/>
    <w:rsid w:val="00A126BD"/>
    <w:rsid w:val="00A12BF9"/>
    <w:rsid w:val="00A16895"/>
    <w:rsid w:val="00A16EB9"/>
    <w:rsid w:val="00A17061"/>
    <w:rsid w:val="00A2278D"/>
    <w:rsid w:val="00A24067"/>
    <w:rsid w:val="00A251A9"/>
    <w:rsid w:val="00A26F9D"/>
    <w:rsid w:val="00A30A60"/>
    <w:rsid w:val="00A31C7F"/>
    <w:rsid w:val="00A34453"/>
    <w:rsid w:val="00A4097A"/>
    <w:rsid w:val="00A450D8"/>
    <w:rsid w:val="00A50280"/>
    <w:rsid w:val="00A5424C"/>
    <w:rsid w:val="00A55BFD"/>
    <w:rsid w:val="00A61F08"/>
    <w:rsid w:val="00A6218C"/>
    <w:rsid w:val="00A62859"/>
    <w:rsid w:val="00A73696"/>
    <w:rsid w:val="00A76E44"/>
    <w:rsid w:val="00A77A88"/>
    <w:rsid w:val="00A77B3A"/>
    <w:rsid w:val="00A86CAC"/>
    <w:rsid w:val="00A96896"/>
    <w:rsid w:val="00AA17CC"/>
    <w:rsid w:val="00AA1EA9"/>
    <w:rsid w:val="00AA45A1"/>
    <w:rsid w:val="00AA48A3"/>
    <w:rsid w:val="00AB243B"/>
    <w:rsid w:val="00AB24BD"/>
    <w:rsid w:val="00AB2966"/>
    <w:rsid w:val="00AB40AA"/>
    <w:rsid w:val="00AB79A4"/>
    <w:rsid w:val="00AC2659"/>
    <w:rsid w:val="00AC3D77"/>
    <w:rsid w:val="00AC49A4"/>
    <w:rsid w:val="00AD05A1"/>
    <w:rsid w:val="00AD5E74"/>
    <w:rsid w:val="00AD6513"/>
    <w:rsid w:val="00AD6D52"/>
    <w:rsid w:val="00AE0815"/>
    <w:rsid w:val="00AE4270"/>
    <w:rsid w:val="00AE6C69"/>
    <w:rsid w:val="00AF06B4"/>
    <w:rsid w:val="00AF0F5D"/>
    <w:rsid w:val="00AF2881"/>
    <w:rsid w:val="00B010D7"/>
    <w:rsid w:val="00B022BE"/>
    <w:rsid w:val="00B03919"/>
    <w:rsid w:val="00B03A9A"/>
    <w:rsid w:val="00B05E80"/>
    <w:rsid w:val="00B12B13"/>
    <w:rsid w:val="00B12F1F"/>
    <w:rsid w:val="00B15B3B"/>
    <w:rsid w:val="00B17727"/>
    <w:rsid w:val="00B2413F"/>
    <w:rsid w:val="00B24EF1"/>
    <w:rsid w:val="00B26E84"/>
    <w:rsid w:val="00B30253"/>
    <w:rsid w:val="00B35FFD"/>
    <w:rsid w:val="00B42E40"/>
    <w:rsid w:val="00B53DC2"/>
    <w:rsid w:val="00B5642D"/>
    <w:rsid w:val="00B564EC"/>
    <w:rsid w:val="00B63C1B"/>
    <w:rsid w:val="00B65489"/>
    <w:rsid w:val="00B679B0"/>
    <w:rsid w:val="00B67B73"/>
    <w:rsid w:val="00B72EAC"/>
    <w:rsid w:val="00B749ED"/>
    <w:rsid w:val="00B761AE"/>
    <w:rsid w:val="00B77141"/>
    <w:rsid w:val="00B810A6"/>
    <w:rsid w:val="00B82421"/>
    <w:rsid w:val="00B82540"/>
    <w:rsid w:val="00B8309C"/>
    <w:rsid w:val="00B861A5"/>
    <w:rsid w:val="00B95D0C"/>
    <w:rsid w:val="00B9771B"/>
    <w:rsid w:val="00BA5F09"/>
    <w:rsid w:val="00BB14B1"/>
    <w:rsid w:val="00BB49A6"/>
    <w:rsid w:val="00BB49E0"/>
    <w:rsid w:val="00BB57D1"/>
    <w:rsid w:val="00BB5999"/>
    <w:rsid w:val="00BB785F"/>
    <w:rsid w:val="00BB7F93"/>
    <w:rsid w:val="00BC2984"/>
    <w:rsid w:val="00BC303E"/>
    <w:rsid w:val="00BC58E1"/>
    <w:rsid w:val="00BC5EEB"/>
    <w:rsid w:val="00BD07A7"/>
    <w:rsid w:val="00BD54E3"/>
    <w:rsid w:val="00BE0EA0"/>
    <w:rsid w:val="00BE331A"/>
    <w:rsid w:val="00BE44F4"/>
    <w:rsid w:val="00BF0A40"/>
    <w:rsid w:val="00BF46F8"/>
    <w:rsid w:val="00C006CA"/>
    <w:rsid w:val="00C021A4"/>
    <w:rsid w:val="00C072C3"/>
    <w:rsid w:val="00C077ED"/>
    <w:rsid w:val="00C11DA1"/>
    <w:rsid w:val="00C1495F"/>
    <w:rsid w:val="00C242BA"/>
    <w:rsid w:val="00C27C9A"/>
    <w:rsid w:val="00C304F1"/>
    <w:rsid w:val="00C311DF"/>
    <w:rsid w:val="00C311E3"/>
    <w:rsid w:val="00C34FF6"/>
    <w:rsid w:val="00C353C7"/>
    <w:rsid w:val="00C35F1E"/>
    <w:rsid w:val="00C41C89"/>
    <w:rsid w:val="00C42C6B"/>
    <w:rsid w:val="00C42DB7"/>
    <w:rsid w:val="00C458C4"/>
    <w:rsid w:val="00C46807"/>
    <w:rsid w:val="00C51932"/>
    <w:rsid w:val="00C51A70"/>
    <w:rsid w:val="00C54246"/>
    <w:rsid w:val="00C54DE0"/>
    <w:rsid w:val="00C61908"/>
    <w:rsid w:val="00C6216E"/>
    <w:rsid w:val="00C66E99"/>
    <w:rsid w:val="00C7067B"/>
    <w:rsid w:val="00C714F9"/>
    <w:rsid w:val="00C72E55"/>
    <w:rsid w:val="00C73DF8"/>
    <w:rsid w:val="00C74876"/>
    <w:rsid w:val="00C77DBA"/>
    <w:rsid w:val="00C82F34"/>
    <w:rsid w:val="00C838D5"/>
    <w:rsid w:val="00C843AF"/>
    <w:rsid w:val="00C85394"/>
    <w:rsid w:val="00C85BF3"/>
    <w:rsid w:val="00C8697F"/>
    <w:rsid w:val="00C90749"/>
    <w:rsid w:val="00C923AE"/>
    <w:rsid w:val="00C95E0C"/>
    <w:rsid w:val="00CA23B2"/>
    <w:rsid w:val="00CA41C9"/>
    <w:rsid w:val="00CA569C"/>
    <w:rsid w:val="00CA7A82"/>
    <w:rsid w:val="00CB0146"/>
    <w:rsid w:val="00CB213A"/>
    <w:rsid w:val="00CB29D2"/>
    <w:rsid w:val="00CC06C1"/>
    <w:rsid w:val="00CC24C3"/>
    <w:rsid w:val="00CC3617"/>
    <w:rsid w:val="00CC6415"/>
    <w:rsid w:val="00CC6B07"/>
    <w:rsid w:val="00CD72E1"/>
    <w:rsid w:val="00CE0F7B"/>
    <w:rsid w:val="00CE41F6"/>
    <w:rsid w:val="00CF0E8F"/>
    <w:rsid w:val="00CF2FE5"/>
    <w:rsid w:val="00CF5D9E"/>
    <w:rsid w:val="00D10D85"/>
    <w:rsid w:val="00D1181F"/>
    <w:rsid w:val="00D13D69"/>
    <w:rsid w:val="00D1421A"/>
    <w:rsid w:val="00D156EA"/>
    <w:rsid w:val="00D20794"/>
    <w:rsid w:val="00D20DF7"/>
    <w:rsid w:val="00D2119C"/>
    <w:rsid w:val="00D24D95"/>
    <w:rsid w:val="00D31D03"/>
    <w:rsid w:val="00D33E4D"/>
    <w:rsid w:val="00D36836"/>
    <w:rsid w:val="00D41E72"/>
    <w:rsid w:val="00D431C1"/>
    <w:rsid w:val="00D47989"/>
    <w:rsid w:val="00D508FA"/>
    <w:rsid w:val="00D658AF"/>
    <w:rsid w:val="00D65D16"/>
    <w:rsid w:val="00D66B37"/>
    <w:rsid w:val="00D70785"/>
    <w:rsid w:val="00D71B69"/>
    <w:rsid w:val="00D734DC"/>
    <w:rsid w:val="00D818FA"/>
    <w:rsid w:val="00D84660"/>
    <w:rsid w:val="00D902C6"/>
    <w:rsid w:val="00D90C1A"/>
    <w:rsid w:val="00D91A27"/>
    <w:rsid w:val="00D93791"/>
    <w:rsid w:val="00D96895"/>
    <w:rsid w:val="00D96C74"/>
    <w:rsid w:val="00DA0648"/>
    <w:rsid w:val="00DA0B8C"/>
    <w:rsid w:val="00DA1D17"/>
    <w:rsid w:val="00DA282A"/>
    <w:rsid w:val="00DA4A21"/>
    <w:rsid w:val="00DA4D73"/>
    <w:rsid w:val="00DA5928"/>
    <w:rsid w:val="00DA59C0"/>
    <w:rsid w:val="00DB2181"/>
    <w:rsid w:val="00DB2724"/>
    <w:rsid w:val="00DB67A5"/>
    <w:rsid w:val="00DB73D4"/>
    <w:rsid w:val="00DC21FB"/>
    <w:rsid w:val="00DC44AF"/>
    <w:rsid w:val="00DC625A"/>
    <w:rsid w:val="00DC7F86"/>
    <w:rsid w:val="00DD4020"/>
    <w:rsid w:val="00DD4725"/>
    <w:rsid w:val="00DD4778"/>
    <w:rsid w:val="00DE1C48"/>
    <w:rsid w:val="00DE2238"/>
    <w:rsid w:val="00DE405E"/>
    <w:rsid w:val="00DE4F81"/>
    <w:rsid w:val="00DE51FD"/>
    <w:rsid w:val="00DE66A0"/>
    <w:rsid w:val="00DE7110"/>
    <w:rsid w:val="00DF1185"/>
    <w:rsid w:val="00DF1C5C"/>
    <w:rsid w:val="00DF341D"/>
    <w:rsid w:val="00DF35E9"/>
    <w:rsid w:val="00DF5CB2"/>
    <w:rsid w:val="00E02F3E"/>
    <w:rsid w:val="00E12281"/>
    <w:rsid w:val="00E1423C"/>
    <w:rsid w:val="00E148CC"/>
    <w:rsid w:val="00E156A0"/>
    <w:rsid w:val="00E20623"/>
    <w:rsid w:val="00E20841"/>
    <w:rsid w:val="00E20F27"/>
    <w:rsid w:val="00E232E2"/>
    <w:rsid w:val="00E2361B"/>
    <w:rsid w:val="00E23B39"/>
    <w:rsid w:val="00E25410"/>
    <w:rsid w:val="00E2602D"/>
    <w:rsid w:val="00E2638D"/>
    <w:rsid w:val="00E275D8"/>
    <w:rsid w:val="00E27C8B"/>
    <w:rsid w:val="00E32EF3"/>
    <w:rsid w:val="00E350AB"/>
    <w:rsid w:val="00E36124"/>
    <w:rsid w:val="00E36464"/>
    <w:rsid w:val="00E37D6A"/>
    <w:rsid w:val="00E41FDD"/>
    <w:rsid w:val="00E44A96"/>
    <w:rsid w:val="00E47A05"/>
    <w:rsid w:val="00E51DD5"/>
    <w:rsid w:val="00E520B7"/>
    <w:rsid w:val="00E52489"/>
    <w:rsid w:val="00E542DD"/>
    <w:rsid w:val="00E546BD"/>
    <w:rsid w:val="00E54876"/>
    <w:rsid w:val="00E5565D"/>
    <w:rsid w:val="00E62D08"/>
    <w:rsid w:val="00E62EFF"/>
    <w:rsid w:val="00E76DDB"/>
    <w:rsid w:val="00E817D7"/>
    <w:rsid w:val="00E838E0"/>
    <w:rsid w:val="00E83BBA"/>
    <w:rsid w:val="00EA1666"/>
    <w:rsid w:val="00EA478C"/>
    <w:rsid w:val="00EA76D3"/>
    <w:rsid w:val="00EA7715"/>
    <w:rsid w:val="00EB19DF"/>
    <w:rsid w:val="00EB2937"/>
    <w:rsid w:val="00EB6C4E"/>
    <w:rsid w:val="00EC638F"/>
    <w:rsid w:val="00ED3B1E"/>
    <w:rsid w:val="00ED4191"/>
    <w:rsid w:val="00ED4A8A"/>
    <w:rsid w:val="00ED555E"/>
    <w:rsid w:val="00ED6309"/>
    <w:rsid w:val="00ED6D75"/>
    <w:rsid w:val="00EE1390"/>
    <w:rsid w:val="00EE29B9"/>
    <w:rsid w:val="00EE6070"/>
    <w:rsid w:val="00EE6369"/>
    <w:rsid w:val="00EE7574"/>
    <w:rsid w:val="00EF0A62"/>
    <w:rsid w:val="00EF21B2"/>
    <w:rsid w:val="00EF313E"/>
    <w:rsid w:val="00F027A4"/>
    <w:rsid w:val="00F02821"/>
    <w:rsid w:val="00F0353F"/>
    <w:rsid w:val="00F03548"/>
    <w:rsid w:val="00F10B10"/>
    <w:rsid w:val="00F10BE6"/>
    <w:rsid w:val="00F144E3"/>
    <w:rsid w:val="00F14A27"/>
    <w:rsid w:val="00F15F3A"/>
    <w:rsid w:val="00F16423"/>
    <w:rsid w:val="00F21FB2"/>
    <w:rsid w:val="00F2278B"/>
    <w:rsid w:val="00F278C7"/>
    <w:rsid w:val="00F27D38"/>
    <w:rsid w:val="00F318FC"/>
    <w:rsid w:val="00F31A6A"/>
    <w:rsid w:val="00F32397"/>
    <w:rsid w:val="00F32802"/>
    <w:rsid w:val="00F34CCE"/>
    <w:rsid w:val="00F35B36"/>
    <w:rsid w:val="00F360F0"/>
    <w:rsid w:val="00F41A4B"/>
    <w:rsid w:val="00F44DD3"/>
    <w:rsid w:val="00F45666"/>
    <w:rsid w:val="00F47315"/>
    <w:rsid w:val="00F520AC"/>
    <w:rsid w:val="00F5348F"/>
    <w:rsid w:val="00F54AE1"/>
    <w:rsid w:val="00F5652A"/>
    <w:rsid w:val="00F625B0"/>
    <w:rsid w:val="00F6269A"/>
    <w:rsid w:val="00F628DB"/>
    <w:rsid w:val="00F62C23"/>
    <w:rsid w:val="00F62C2E"/>
    <w:rsid w:val="00F675E6"/>
    <w:rsid w:val="00F70534"/>
    <w:rsid w:val="00F70538"/>
    <w:rsid w:val="00F71B19"/>
    <w:rsid w:val="00F73790"/>
    <w:rsid w:val="00F73E89"/>
    <w:rsid w:val="00F74AA7"/>
    <w:rsid w:val="00F76D54"/>
    <w:rsid w:val="00F83D03"/>
    <w:rsid w:val="00F83FFD"/>
    <w:rsid w:val="00F84103"/>
    <w:rsid w:val="00F847BE"/>
    <w:rsid w:val="00F848EA"/>
    <w:rsid w:val="00F86963"/>
    <w:rsid w:val="00F90281"/>
    <w:rsid w:val="00F93C30"/>
    <w:rsid w:val="00F95828"/>
    <w:rsid w:val="00FA187D"/>
    <w:rsid w:val="00FA2561"/>
    <w:rsid w:val="00FA48A2"/>
    <w:rsid w:val="00FB0496"/>
    <w:rsid w:val="00FB113C"/>
    <w:rsid w:val="00FB1678"/>
    <w:rsid w:val="00FB291E"/>
    <w:rsid w:val="00FB34D2"/>
    <w:rsid w:val="00FB3F9F"/>
    <w:rsid w:val="00FB55CF"/>
    <w:rsid w:val="00FB56CC"/>
    <w:rsid w:val="00FC43C8"/>
    <w:rsid w:val="00FC5B68"/>
    <w:rsid w:val="00FC70C6"/>
    <w:rsid w:val="00FC7C94"/>
    <w:rsid w:val="00FD171E"/>
    <w:rsid w:val="00FD2E69"/>
    <w:rsid w:val="00FD5967"/>
    <w:rsid w:val="00FD6FF0"/>
    <w:rsid w:val="00FF0C13"/>
    <w:rsid w:val="00FF12FA"/>
    <w:rsid w:val="00FF69F1"/>
    <w:rsid w:val="00FF7FE6"/>
    <w:rsid w:val="01097134"/>
    <w:rsid w:val="014A4B87"/>
    <w:rsid w:val="015F56BD"/>
    <w:rsid w:val="01602DB6"/>
    <w:rsid w:val="017B579C"/>
    <w:rsid w:val="01962088"/>
    <w:rsid w:val="01C66DDF"/>
    <w:rsid w:val="025322D8"/>
    <w:rsid w:val="0280706E"/>
    <w:rsid w:val="03362979"/>
    <w:rsid w:val="037520ED"/>
    <w:rsid w:val="03E40DF7"/>
    <w:rsid w:val="03F963CF"/>
    <w:rsid w:val="041D47D5"/>
    <w:rsid w:val="043B0A93"/>
    <w:rsid w:val="045401A1"/>
    <w:rsid w:val="0454314B"/>
    <w:rsid w:val="048B77D1"/>
    <w:rsid w:val="05031973"/>
    <w:rsid w:val="05DC4EA9"/>
    <w:rsid w:val="05F5451E"/>
    <w:rsid w:val="06320DFC"/>
    <w:rsid w:val="067E4442"/>
    <w:rsid w:val="06A1718B"/>
    <w:rsid w:val="06B850B6"/>
    <w:rsid w:val="07797D22"/>
    <w:rsid w:val="077A78CE"/>
    <w:rsid w:val="07C22BED"/>
    <w:rsid w:val="080C5C9E"/>
    <w:rsid w:val="08414981"/>
    <w:rsid w:val="084E08AE"/>
    <w:rsid w:val="084E1F6E"/>
    <w:rsid w:val="087943B0"/>
    <w:rsid w:val="087F738A"/>
    <w:rsid w:val="089220C6"/>
    <w:rsid w:val="089E22EB"/>
    <w:rsid w:val="099816A3"/>
    <w:rsid w:val="09B72FD5"/>
    <w:rsid w:val="09E802E0"/>
    <w:rsid w:val="0A2F68D9"/>
    <w:rsid w:val="0A401BD4"/>
    <w:rsid w:val="0A433CD5"/>
    <w:rsid w:val="0A7532CE"/>
    <w:rsid w:val="0AB220FC"/>
    <w:rsid w:val="0ABF2B6B"/>
    <w:rsid w:val="0ADE2732"/>
    <w:rsid w:val="0AEE2A18"/>
    <w:rsid w:val="0B4D03CC"/>
    <w:rsid w:val="0B551043"/>
    <w:rsid w:val="0B5D7051"/>
    <w:rsid w:val="0B93602C"/>
    <w:rsid w:val="0BC86239"/>
    <w:rsid w:val="0BF44881"/>
    <w:rsid w:val="0C5A7E33"/>
    <w:rsid w:val="0C7442B2"/>
    <w:rsid w:val="0CBF648E"/>
    <w:rsid w:val="0D0D5A61"/>
    <w:rsid w:val="0D396D63"/>
    <w:rsid w:val="0DBE0A29"/>
    <w:rsid w:val="0E0B5204"/>
    <w:rsid w:val="0E160DD7"/>
    <w:rsid w:val="0E782BEC"/>
    <w:rsid w:val="0EA47201"/>
    <w:rsid w:val="0F3443A4"/>
    <w:rsid w:val="0F6D5FD8"/>
    <w:rsid w:val="0FDF1311"/>
    <w:rsid w:val="10500322"/>
    <w:rsid w:val="10A20631"/>
    <w:rsid w:val="111524C9"/>
    <w:rsid w:val="112E2AF6"/>
    <w:rsid w:val="11BB7901"/>
    <w:rsid w:val="11D046DE"/>
    <w:rsid w:val="12122016"/>
    <w:rsid w:val="12740716"/>
    <w:rsid w:val="127B43B6"/>
    <w:rsid w:val="12EB104A"/>
    <w:rsid w:val="13812536"/>
    <w:rsid w:val="143B13E6"/>
    <w:rsid w:val="147C7D50"/>
    <w:rsid w:val="14FA5B9E"/>
    <w:rsid w:val="15097F33"/>
    <w:rsid w:val="15171F15"/>
    <w:rsid w:val="15D774E9"/>
    <w:rsid w:val="15E57EFC"/>
    <w:rsid w:val="15E853F4"/>
    <w:rsid w:val="16525A74"/>
    <w:rsid w:val="166350C6"/>
    <w:rsid w:val="16960049"/>
    <w:rsid w:val="16B75ADE"/>
    <w:rsid w:val="174C2D90"/>
    <w:rsid w:val="175C39C0"/>
    <w:rsid w:val="177065E9"/>
    <w:rsid w:val="17DC5EA9"/>
    <w:rsid w:val="17F31E25"/>
    <w:rsid w:val="18171F8C"/>
    <w:rsid w:val="185D18B2"/>
    <w:rsid w:val="18615EAE"/>
    <w:rsid w:val="191F4378"/>
    <w:rsid w:val="193A0C3E"/>
    <w:rsid w:val="195B3145"/>
    <w:rsid w:val="195C7DB3"/>
    <w:rsid w:val="195D5848"/>
    <w:rsid w:val="19912ED0"/>
    <w:rsid w:val="1ACC5862"/>
    <w:rsid w:val="1AE57DBE"/>
    <w:rsid w:val="1AF472B4"/>
    <w:rsid w:val="1AF53083"/>
    <w:rsid w:val="1B0D0A71"/>
    <w:rsid w:val="1B3B5306"/>
    <w:rsid w:val="1BF92C18"/>
    <w:rsid w:val="1C3344C2"/>
    <w:rsid w:val="1C900BEA"/>
    <w:rsid w:val="1C9B1B2B"/>
    <w:rsid w:val="1D02266E"/>
    <w:rsid w:val="1D791074"/>
    <w:rsid w:val="1D881805"/>
    <w:rsid w:val="1DDE19D2"/>
    <w:rsid w:val="1E04713C"/>
    <w:rsid w:val="1E154D10"/>
    <w:rsid w:val="1E6C636C"/>
    <w:rsid w:val="1E970FF5"/>
    <w:rsid w:val="1EAA2CFC"/>
    <w:rsid w:val="1EAD7FF6"/>
    <w:rsid w:val="1F8B309B"/>
    <w:rsid w:val="1F8F4ADE"/>
    <w:rsid w:val="1FBA187D"/>
    <w:rsid w:val="1FDF1D12"/>
    <w:rsid w:val="200808B9"/>
    <w:rsid w:val="20254CFE"/>
    <w:rsid w:val="202C6C38"/>
    <w:rsid w:val="20E0242B"/>
    <w:rsid w:val="21210DF6"/>
    <w:rsid w:val="212D14A4"/>
    <w:rsid w:val="2159299E"/>
    <w:rsid w:val="21690BA6"/>
    <w:rsid w:val="21837D6F"/>
    <w:rsid w:val="21A82938"/>
    <w:rsid w:val="21EC2CC4"/>
    <w:rsid w:val="21F175E4"/>
    <w:rsid w:val="21FE34E0"/>
    <w:rsid w:val="22377038"/>
    <w:rsid w:val="22442BA7"/>
    <w:rsid w:val="227670F3"/>
    <w:rsid w:val="229071FC"/>
    <w:rsid w:val="23856BDF"/>
    <w:rsid w:val="23A46083"/>
    <w:rsid w:val="23EE3640"/>
    <w:rsid w:val="24A15C46"/>
    <w:rsid w:val="24F01A65"/>
    <w:rsid w:val="25070E5D"/>
    <w:rsid w:val="253C7544"/>
    <w:rsid w:val="25480A58"/>
    <w:rsid w:val="255C3920"/>
    <w:rsid w:val="255C4E55"/>
    <w:rsid w:val="256E7CC8"/>
    <w:rsid w:val="25DE5E6B"/>
    <w:rsid w:val="263832F4"/>
    <w:rsid w:val="26443F74"/>
    <w:rsid w:val="26592360"/>
    <w:rsid w:val="271B1116"/>
    <w:rsid w:val="272B1EBC"/>
    <w:rsid w:val="274B6137"/>
    <w:rsid w:val="27A16C78"/>
    <w:rsid w:val="27D8148B"/>
    <w:rsid w:val="28164209"/>
    <w:rsid w:val="28451E0A"/>
    <w:rsid w:val="288C1D13"/>
    <w:rsid w:val="288C62DC"/>
    <w:rsid w:val="28A679A6"/>
    <w:rsid w:val="28AD19EE"/>
    <w:rsid w:val="2A5A326F"/>
    <w:rsid w:val="2A79581F"/>
    <w:rsid w:val="2A842493"/>
    <w:rsid w:val="2AA35AEE"/>
    <w:rsid w:val="2AA97517"/>
    <w:rsid w:val="2AD55586"/>
    <w:rsid w:val="2AE3385A"/>
    <w:rsid w:val="2B7829B1"/>
    <w:rsid w:val="2B98092E"/>
    <w:rsid w:val="2C0A75CB"/>
    <w:rsid w:val="2CC20DF0"/>
    <w:rsid w:val="2CC82E32"/>
    <w:rsid w:val="2CD7037C"/>
    <w:rsid w:val="2D153CFD"/>
    <w:rsid w:val="2D434976"/>
    <w:rsid w:val="2D4542D1"/>
    <w:rsid w:val="2D8D7B72"/>
    <w:rsid w:val="2DB31B82"/>
    <w:rsid w:val="2DEE0F38"/>
    <w:rsid w:val="2DF3175E"/>
    <w:rsid w:val="2E0E0C00"/>
    <w:rsid w:val="2E432FBF"/>
    <w:rsid w:val="2E8B691B"/>
    <w:rsid w:val="2EC971F1"/>
    <w:rsid w:val="2F020FBC"/>
    <w:rsid w:val="2F051068"/>
    <w:rsid w:val="2F1D07C4"/>
    <w:rsid w:val="2F2028A8"/>
    <w:rsid w:val="2F6C1DF0"/>
    <w:rsid w:val="2F7B49EC"/>
    <w:rsid w:val="2FE9336C"/>
    <w:rsid w:val="2FF647EF"/>
    <w:rsid w:val="308E6E77"/>
    <w:rsid w:val="308F4871"/>
    <w:rsid w:val="30E53165"/>
    <w:rsid w:val="30F035F3"/>
    <w:rsid w:val="310A17E7"/>
    <w:rsid w:val="31324444"/>
    <w:rsid w:val="316420FB"/>
    <w:rsid w:val="31AA4CC8"/>
    <w:rsid w:val="31E5095E"/>
    <w:rsid w:val="328340D4"/>
    <w:rsid w:val="328A762E"/>
    <w:rsid w:val="328B1B2D"/>
    <w:rsid w:val="32DE23C1"/>
    <w:rsid w:val="332D7B37"/>
    <w:rsid w:val="3362732A"/>
    <w:rsid w:val="33A111D5"/>
    <w:rsid w:val="33C45603"/>
    <w:rsid w:val="33DC1A9F"/>
    <w:rsid w:val="34944912"/>
    <w:rsid w:val="34B07173"/>
    <w:rsid w:val="34C1576C"/>
    <w:rsid w:val="35BB161E"/>
    <w:rsid w:val="35C20DAF"/>
    <w:rsid w:val="361152B4"/>
    <w:rsid w:val="36494466"/>
    <w:rsid w:val="36CE2C05"/>
    <w:rsid w:val="36FD44B2"/>
    <w:rsid w:val="37143B1A"/>
    <w:rsid w:val="3774363F"/>
    <w:rsid w:val="3786714B"/>
    <w:rsid w:val="37B25D2C"/>
    <w:rsid w:val="384C204D"/>
    <w:rsid w:val="386868F5"/>
    <w:rsid w:val="38720983"/>
    <w:rsid w:val="394203B8"/>
    <w:rsid w:val="39676B4B"/>
    <w:rsid w:val="398936DF"/>
    <w:rsid w:val="399E7D09"/>
    <w:rsid w:val="39F325C0"/>
    <w:rsid w:val="3A3E0704"/>
    <w:rsid w:val="3AA3428A"/>
    <w:rsid w:val="3AC05228"/>
    <w:rsid w:val="3B1331BE"/>
    <w:rsid w:val="3B3F4421"/>
    <w:rsid w:val="3B4E46DC"/>
    <w:rsid w:val="3B7776CD"/>
    <w:rsid w:val="3B8D4864"/>
    <w:rsid w:val="3B8D78F3"/>
    <w:rsid w:val="3BAF62FA"/>
    <w:rsid w:val="3BCF5B11"/>
    <w:rsid w:val="3BEB59FB"/>
    <w:rsid w:val="3C275FB6"/>
    <w:rsid w:val="3C6B6976"/>
    <w:rsid w:val="3D4816FC"/>
    <w:rsid w:val="3D886EDA"/>
    <w:rsid w:val="3D8A583C"/>
    <w:rsid w:val="3DAD6429"/>
    <w:rsid w:val="3E264147"/>
    <w:rsid w:val="3E7F0F9F"/>
    <w:rsid w:val="3E882E58"/>
    <w:rsid w:val="3ECD0D64"/>
    <w:rsid w:val="3EFA204A"/>
    <w:rsid w:val="3F181E04"/>
    <w:rsid w:val="3F1C5B40"/>
    <w:rsid w:val="3FC21A76"/>
    <w:rsid w:val="3FE25527"/>
    <w:rsid w:val="402D6A96"/>
    <w:rsid w:val="40BE1EC9"/>
    <w:rsid w:val="410529A8"/>
    <w:rsid w:val="41150FA9"/>
    <w:rsid w:val="412E79A0"/>
    <w:rsid w:val="41353A58"/>
    <w:rsid w:val="418E21C5"/>
    <w:rsid w:val="419829FC"/>
    <w:rsid w:val="41B233ED"/>
    <w:rsid w:val="422D6E0C"/>
    <w:rsid w:val="430F461F"/>
    <w:rsid w:val="435A12ED"/>
    <w:rsid w:val="436703C5"/>
    <w:rsid w:val="439A67B8"/>
    <w:rsid w:val="43D65940"/>
    <w:rsid w:val="43DC3B2C"/>
    <w:rsid w:val="43F37362"/>
    <w:rsid w:val="44147A2D"/>
    <w:rsid w:val="4465130A"/>
    <w:rsid w:val="4486454D"/>
    <w:rsid w:val="44F86F44"/>
    <w:rsid w:val="4510223F"/>
    <w:rsid w:val="4544769A"/>
    <w:rsid w:val="45BA4B70"/>
    <w:rsid w:val="45D1711B"/>
    <w:rsid w:val="46037E30"/>
    <w:rsid w:val="463514E8"/>
    <w:rsid w:val="46410795"/>
    <w:rsid w:val="464E3068"/>
    <w:rsid w:val="46673A82"/>
    <w:rsid w:val="46FC4E5F"/>
    <w:rsid w:val="470720D7"/>
    <w:rsid w:val="47337DFF"/>
    <w:rsid w:val="4744212F"/>
    <w:rsid w:val="475D3A7A"/>
    <w:rsid w:val="47A95806"/>
    <w:rsid w:val="47B16CDB"/>
    <w:rsid w:val="47F805C6"/>
    <w:rsid w:val="48077180"/>
    <w:rsid w:val="483D419D"/>
    <w:rsid w:val="486C7A2A"/>
    <w:rsid w:val="493C2EBD"/>
    <w:rsid w:val="49FC5E02"/>
    <w:rsid w:val="4A70534C"/>
    <w:rsid w:val="4AAE719D"/>
    <w:rsid w:val="4ACD3EA9"/>
    <w:rsid w:val="4ADB268C"/>
    <w:rsid w:val="4B9B2391"/>
    <w:rsid w:val="4B9B5A6F"/>
    <w:rsid w:val="4BB01C3F"/>
    <w:rsid w:val="4BD339A5"/>
    <w:rsid w:val="4C181D9F"/>
    <w:rsid w:val="4C9540CC"/>
    <w:rsid w:val="4CBC0727"/>
    <w:rsid w:val="4CC41B83"/>
    <w:rsid w:val="4CD10174"/>
    <w:rsid w:val="4CDF55B4"/>
    <w:rsid w:val="4D56490D"/>
    <w:rsid w:val="4D5A3872"/>
    <w:rsid w:val="4D72730F"/>
    <w:rsid w:val="4D743910"/>
    <w:rsid w:val="4D7C6656"/>
    <w:rsid w:val="4D8E234C"/>
    <w:rsid w:val="4DA2373D"/>
    <w:rsid w:val="4DC40E36"/>
    <w:rsid w:val="4E1F09BA"/>
    <w:rsid w:val="4E695A65"/>
    <w:rsid w:val="4E983313"/>
    <w:rsid w:val="4EE8532E"/>
    <w:rsid w:val="4F3501CD"/>
    <w:rsid w:val="4F6D6903"/>
    <w:rsid w:val="4FC24240"/>
    <w:rsid w:val="4FDC082A"/>
    <w:rsid w:val="4FF356B3"/>
    <w:rsid w:val="4FFD2979"/>
    <w:rsid w:val="4FFF63AB"/>
    <w:rsid w:val="50473786"/>
    <w:rsid w:val="5068649A"/>
    <w:rsid w:val="50C11611"/>
    <w:rsid w:val="50D442CF"/>
    <w:rsid w:val="50D8539C"/>
    <w:rsid w:val="50D97143"/>
    <w:rsid w:val="50E0371A"/>
    <w:rsid w:val="5139593B"/>
    <w:rsid w:val="513C63B3"/>
    <w:rsid w:val="514426B5"/>
    <w:rsid w:val="51561D34"/>
    <w:rsid w:val="51784B61"/>
    <w:rsid w:val="529945F3"/>
    <w:rsid w:val="538E5D54"/>
    <w:rsid w:val="53F22F03"/>
    <w:rsid w:val="54277F37"/>
    <w:rsid w:val="54AF4482"/>
    <w:rsid w:val="54D545D7"/>
    <w:rsid w:val="54F1619E"/>
    <w:rsid w:val="553F0263"/>
    <w:rsid w:val="5555074E"/>
    <w:rsid w:val="55803CCF"/>
    <w:rsid w:val="55E37109"/>
    <w:rsid w:val="563941CB"/>
    <w:rsid w:val="564565E0"/>
    <w:rsid w:val="56850471"/>
    <w:rsid w:val="56F93FD3"/>
    <w:rsid w:val="570D2A69"/>
    <w:rsid w:val="573F5E3C"/>
    <w:rsid w:val="57422829"/>
    <w:rsid w:val="577E025B"/>
    <w:rsid w:val="57953046"/>
    <w:rsid w:val="57B477A5"/>
    <w:rsid w:val="57EC2FC1"/>
    <w:rsid w:val="57F021A6"/>
    <w:rsid w:val="57F47129"/>
    <w:rsid w:val="58087A10"/>
    <w:rsid w:val="584E7847"/>
    <w:rsid w:val="58D716EB"/>
    <w:rsid w:val="58F647E2"/>
    <w:rsid w:val="59727B51"/>
    <w:rsid w:val="598A09C7"/>
    <w:rsid w:val="598E7524"/>
    <w:rsid w:val="599D016C"/>
    <w:rsid w:val="5A4F135E"/>
    <w:rsid w:val="5AAD764B"/>
    <w:rsid w:val="5AB41D9D"/>
    <w:rsid w:val="5AE07DAD"/>
    <w:rsid w:val="5B0F2C5F"/>
    <w:rsid w:val="5B351B32"/>
    <w:rsid w:val="5BA341A6"/>
    <w:rsid w:val="5BD01580"/>
    <w:rsid w:val="5C370B7E"/>
    <w:rsid w:val="5CB81564"/>
    <w:rsid w:val="5D1C5054"/>
    <w:rsid w:val="5D5B109F"/>
    <w:rsid w:val="5D6A5E7E"/>
    <w:rsid w:val="5D9D164C"/>
    <w:rsid w:val="5DC346ED"/>
    <w:rsid w:val="5E125052"/>
    <w:rsid w:val="5E145CD9"/>
    <w:rsid w:val="5EC25F50"/>
    <w:rsid w:val="5ED56360"/>
    <w:rsid w:val="5F36221C"/>
    <w:rsid w:val="5F9541E6"/>
    <w:rsid w:val="5FBD535C"/>
    <w:rsid w:val="5FED4193"/>
    <w:rsid w:val="60296261"/>
    <w:rsid w:val="60422131"/>
    <w:rsid w:val="60526286"/>
    <w:rsid w:val="60530BC1"/>
    <w:rsid w:val="605C540A"/>
    <w:rsid w:val="609F7F69"/>
    <w:rsid w:val="612B2322"/>
    <w:rsid w:val="613C5088"/>
    <w:rsid w:val="61A32A11"/>
    <w:rsid w:val="62130629"/>
    <w:rsid w:val="622E3E62"/>
    <w:rsid w:val="62B9529A"/>
    <w:rsid w:val="63D15DCB"/>
    <w:rsid w:val="63DB1939"/>
    <w:rsid w:val="63F21869"/>
    <w:rsid w:val="641B14E8"/>
    <w:rsid w:val="645D230B"/>
    <w:rsid w:val="64AE127F"/>
    <w:rsid w:val="64BD2300"/>
    <w:rsid w:val="64C86884"/>
    <w:rsid w:val="64E60403"/>
    <w:rsid w:val="652A0795"/>
    <w:rsid w:val="65773EF1"/>
    <w:rsid w:val="65B14571"/>
    <w:rsid w:val="66370D47"/>
    <w:rsid w:val="666652D4"/>
    <w:rsid w:val="66843A54"/>
    <w:rsid w:val="668A5326"/>
    <w:rsid w:val="66C649F0"/>
    <w:rsid w:val="67076689"/>
    <w:rsid w:val="671374DF"/>
    <w:rsid w:val="675148E5"/>
    <w:rsid w:val="67981B79"/>
    <w:rsid w:val="67A144EA"/>
    <w:rsid w:val="67A316C3"/>
    <w:rsid w:val="68411717"/>
    <w:rsid w:val="686E56FC"/>
    <w:rsid w:val="68C12D0E"/>
    <w:rsid w:val="68E70ABA"/>
    <w:rsid w:val="691225B8"/>
    <w:rsid w:val="69EE0EF7"/>
    <w:rsid w:val="6A6E687C"/>
    <w:rsid w:val="6A73240D"/>
    <w:rsid w:val="6AA35C0A"/>
    <w:rsid w:val="6AB81DFA"/>
    <w:rsid w:val="6ABD31F1"/>
    <w:rsid w:val="6AEE5F76"/>
    <w:rsid w:val="6AF406C3"/>
    <w:rsid w:val="6B005E57"/>
    <w:rsid w:val="6B3D40B7"/>
    <w:rsid w:val="6C330307"/>
    <w:rsid w:val="6D423974"/>
    <w:rsid w:val="6D462857"/>
    <w:rsid w:val="6D576F1F"/>
    <w:rsid w:val="6D781031"/>
    <w:rsid w:val="6D9A0980"/>
    <w:rsid w:val="6DAA0066"/>
    <w:rsid w:val="6DCF4470"/>
    <w:rsid w:val="6E3561F3"/>
    <w:rsid w:val="6E3C1E41"/>
    <w:rsid w:val="6E3E3545"/>
    <w:rsid w:val="6E4E22DE"/>
    <w:rsid w:val="6F4247C4"/>
    <w:rsid w:val="6F4F0E90"/>
    <w:rsid w:val="6F5F416D"/>
    <w:rsid w:val="6FC40F28"/>
    <w:rsid w:val="6FD93FEE"/>
    <w:rsid w:val="6FF530FC"/>
    <w:rsid w:val="701A211C"/>
    <w:rsid w:val="703D6E25"/>
    <w:rsid w:val="706919A9"/>
    <w:rsid w:val="70B00EE9"/>
    <w:rsid w:val="710E6BB1"/>
    <w:rsid w:val="711F7251"/>
    <w:rsid w:val="71796E14"/>
    <w:rsid w:val="719A4E76"/>
    <w:rsid w:val="720F16B9"/>
    <w:rsid w:val="7250266B"/>
    <w:rsid w:val="72A740A9"/>
    <w:rsid w:val="72E773C4"/>
    <w:rsid w:val="73091866"/>
    <w:rsid w:val="732D655F"/>
    <w:rsid w:val="734F7B6B"/>
    <w:rsid w:val="7351427A"/>
    <w:rsid w:val="73947DC5"/>
    <w:rsid w:val="739E000E"/>
    <w:rsid w:val="73D73E15"/>
    <w:rsid w:val="740622ED"/>
    <w:rsid w:val="741674C8"/>
    <w:rsid w:val="747A35F4"/>
    <w:rsid w:val="74E201E6"/>
    <w:rsid w:val="7501721F"/>
    <w:rsid w:val="757F0F31"/>
    <w:rsid w:val="75A56716"/>
    <w:rsid w:val="75A73D3C"/>
    <w:rsid w:val="75B558FC"/>
    <w:rsid w:val="75EE6A40"/>
    <w:rsid w:val="760F17E2"/>
    <w:rsid w:val="76241D79"/>
    <w:rsid w:val="762E459F"/>
    <w:rsid w:val="763F1450"/>
    <w:rsid w:val="764F6618"/>
    <w:rsid w:val="768D40D7"/>
    <w:rsid w:val="769F2AA7"/>
    <w:rsid w:val="76B5197E"/>
    <w:rsid w:val="76C3150A"/>
    <w:rsid w:val="76D31BF4"/>
    <w:rsid w:val="77320E94"/>
    <w:rsid w:val="777F7CB9"/>
    <w:rsid w:val="77BD34E3"/>
    <w:rsid w:val="780D1AD0"/>
    <w:rsid w:val="78340A3C"/>
    <w:rsid w:val="78A0261E"/>
    <w:rsid w:val="78DC45CA"/>
    <w:rsid w:val="7909302D"/>
    <w:rsid w:val="79337466"/>
    <w:rsid w:val="79F72FA5"/>
    <w:rsid w:val="7A153CF3"/>
    <w:rsid w:val="7A2E6169"/>
    <w:rsid w:val="7A3321C6"/>
    <w:rsid w:val="7A533648"/>
    <w:rsid w:val="7A953D41"/>
    <w:rsid w:val="7AF0022B"/>
    <w:rsid w:val="7AFF426D"/>
    <w:rsid w:val="7B115A08"/>
    <w:rsid w:val="7B284B90"/>
    <w:rsid w:val="7B726CD6"/>
    <w:rsid w:val="7C3F2712"/>
    <w:rsid w:val="7C5E30F4"/>
    <w:rsid w:val="7C632489"/>
    <w:rsid w:val="7CB626D8"/>
    <w:rsid w:val="7CF03D11"/>
    <w:rsid w:val="7E005F46"/>
    <w:rsid w:val="7E0F50FE"/>
    <w:rsid w:val="7E1E2CCA"/>
    <w:rsid w:val="7E42792D"/>
    <w:rsid w:val="7E432827"/>
    <w:rsid w:val="7E516E29"/>
    <w:rsid w:val="7E572138"/>
    <w:rsid w:val="7E7E3EA5"/>
    <w:rsid w:val="7EB16021"/>
    <w:rsid w:val="7F1A6826"/>
    <w:rsid w:val="7F5313C1"/>
    <w:rsid w:val="7F8026B3"/>
    <w:rsid w:val="7F9407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579" w:lineRule="exact"/>
      <w:jc w:val="both"/>
    </w:pPr>
    <w:rPr>
      <w:rFonts w:ascii="仿宋_GB2312" w:eastAsia="仿宋_GB2312" w:hAnsiTheme="minorHAnsi" w:cstheme="minorBidi"/>
      <w:kern w:val="2"/>
      <w:sz w:val="32"/>
      <w:szCs w:val="32"/>
      <w:lang w:val="en-US" w:eastAsia="zh-CN" w:bidi="ar-SA"/>
    </w:rPr>
  </w:style>
  <w:style w:type="paragraph" w:styleId="2">
    <w:name w:val="heading 1"/>
    <w:basedOn w:val="1"/>
    <w:next w:val="1"/>
    <w:qFormat/>
    <w:uiPriority w:val="9"/>
    <w:pPr>
      <w:keepNext/>
      <w:keepLines/>
      <w:spacing w:line="600" w:lineRule="exact"/>
      <w:ind w:left="420" w:leftChars="200"/>
      <w:outlineLvl w:val="0"/>
    </w:pPr>
    <w:rPr>
      <w:rFonts w:ascii="Calibri" w:hAnsi="Calibri" w:eastAsia="黑体"/>
      <w:kern w:val="44"/>
    </w:rPr>
  </w:style>
  <w:style w:type="paragraph" w:styleId="3">
    <w:name w:val="heading 2"/>
    <w:basedOn w:val="1"/>
    <w:next w:val="1"/>
    <w:semiHidden/>
    <w:unhideWhenUsed/>
    <w:qFormat/>
    <w:uiPriority w:val="9"/>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Body Text"/>
    <w:basedOn w:val="1"/>
    <w:semiHidden/>
    <w:qFormat/>
    <w:uiPriority w:val="0"/>
    <w:rPr>
      <w:rFonts w:ascii="Arial" w:hAnsi="Arial" w:eastAsia="Arial" w:cs="Arial"/>
      <w:sz w:val="21"/>
      <w:szCs w:val="21"/>
      <w:lang w:val="en-US" w:eastAsia="en-US" w:bidi="ar-SA"/>
    </w:rPr>
  </w:style>
  <w:style w:type="paragraph" w:styleId="5">
    <w:name w:val="Balloon Text"/>
    <w:basedOn w:val="1"/>
    <w:link w:val="22"/>
    <w:unhideWhenUsed/>
    <w:qFormat/>
    <w:uiPriority w:val="99"/>
    <w:pPr>
      <w:spacing w:line="240" w:lineRule="auto"/>
    </w:pPr>
    <w:rPr>
      <w:sz w:val="18"/>
      <w:szCs w:val="18"/>
    </w:rPr>
  </w:style>
  <w:style w:type="paragraph" w:styleId="6">
    <w:name w:val="footer"/>
    <w:basedOn w:val="1"/>
    <w:link w:val="17"/>
    <w:unhideWhenUsed/>
    <w:qFormat/>
    <w:uiPriority w:val="99"/>
    <w:pPr>
      <w:tabs>
        <w:tab w:val="center" w:pos="4153"/>
        <w:tab w:val="right" w:pos="8306"/>
      </w:tabs>
      <w:snapToGrid w:val="0"/>
      <w:spacing w:line="240" w:lineRule="atLeast"/>
      <w:jc w:val="left"/>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8">
    <w:name w:val="footnote text"/>
    <w:basedOn w:val="1"/>
    <w:qFormat/>
    <w:uiPriority w:val="0"/>
    <w:pPr>
      <w:snapToGrid w:val="0"/>
      <w:jc w:val="left"/>
    </w:pPr>
    <w:rPr>
      <w:rFonts w:ascii="Times New Roman" w:hAnsi="Times New Roman" w:eastAsia="宋体" w:cs="Times New Roman"/>
      <w:sz w:val="18"/>
    </w:rPr>
  </w:style>
  <w:style w:type="paragraph" w:styleId="9">
    <w:name w:val="Normal (Web)"/>
    <w:basedOn w:val="1"/>
    <w:qFormat/>
    <w:uiPriority w:val="99"/>
    <w:pPr>
      <w:widowControl w:val="0"/>
      <w:spacing w:before="100" w:beforeAutospacing="1" w:after="100" w:afterAutospacing="1" w:line="240" w:lineRule="auto"/>
      <w:jc w:val="left"/>
    </w:pPr>
    <w:rPr>
      <w:rFonts w:ascii="Calibri" w:hAnsi="Calibri" w:eastAsia="宋体" w:cs="Times New Roman"/>
      <w:kern w:val="0"/>
      <w:sz w:val="24"/>
      <w:szCs w:val="24"/>
    </w:rPr>
  </w:style>
  <w:style w:type="table" w:styleId="11">
    <w:name w:val="Table Grid"/>
    <w:basedOn w:val="10"/>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Emphasis"/>
    <w:basedOn w:val="12"/>
    <w:qFormat/>
    <w:uiPriority w:val="20"/>
    <w:rPr>
      <w:i/>
    </w:rPr>
  </w:style>
  <w:style w:type="character" w:styleId="15">
    <w:name w:val="footnote reference"/>
    <w:basedOn w:val="12"/>
    <w:qFormat/>
    <w:uiPriority w:val="0"/>
    <w:rPr>
      <w:rFonts w:ascii="Times New Roman" w:hAnsi="Times New Roman" w:eastAsia="宋体" w:cs="Times New Roman"/>
      <w:vertAlign w:val="superscript"/>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paragraph" w:customStyle="1" w:styleId="18">
    <w:name w:val="列表段落1"/>
    <w:basedOn w:val="1"/>
    <w:qFormat/>
    <w:uiPriority w:val="34"/>
    <w:pPr>
      <w:ind w:firstLine="420" w:firstLineChars="200"/>
    </w:pPr>
  </w:style>
  <w:style w:type="paragraph" w:customStyle="1" w:styleId="19">
    <w:name w:val="正文1"/>
    <w:qFormat/>
    <w:uiPriority w:val="3"/>
    <w:pPr>
      <w:widowControl w:val="0"/>
      <w:jc w:val="both"/>
    </w:pPr>
    <w:rPr>
      <w:rFonts w:ascii="Calibri" w:hAnsi="Calibri" w:eastAsia="宋体" w:cs="Times New Roman"/>
      <w:color w:val="000000"/>
      <w:kern w:val="2"/>
      <w:sz w:val="21"/>
      <w:szCs w:val="22"/>
      <w:lang w:val="en-US" w:eastAsia="zh-CN" w:bidi="ar-SA"/>
    </w:rPr>
  </w:style>
  <w:style w:type="paragraph" w:customStyle="1" w:styleId="20">
    <w:name w:val="普通(网站)1"/>
    <w:basedOn w:val="19"/>
    <w:qFormat/>
    <w:uiPriority w:val="2"/>
    <w:pPr>
      <w:widowControl/>
      <w:spacing w:before="280" w:after="142"/>
    </w:pPr>
    <w:rPr>
      <w:rFonts w:ascii="宋体" w:hAnsi="宋体" w:cs="宋体"/>
      <w:kern w:val="0"/>
      <w:sz w:val="24"/>
      <w:szCs w:val="24"/>
    </w:rPr>
  </w:style>
  <w:style w:type="paragraph" w:customStyle="1" w:styleId="21">
    <w:name w:val="列表段落2"/>
    <w:basedOn w:val="1"/>
    <w:qFormat/>
    <w:uiPriority w:val="99"/>
    <w:pPr>
      <w:ind w:firstLine="420" w:firstLineChars="200"/>
    </w:pPr>
  </w:style>
  <w:style w:type="character" w:customStyle="1" w:styleId="22">
    <w:name w:val="批注框文本 字符"/>
    <w:basedOn w:val="12"/>
    <w:link w:val="5"/>
    <w:semiHidden/>
    <w:qFormat/>
    <w:uiPriority w:val="99"/>
    <w:rPr>
      <w:kern w:val="2"/>
      <w:sz w:val="18"/>
      <w:szCs w:val="18"/>
    </w:rPr>
  </w:style>
  <w:style w:type="paragraph" w:customStyle="1" w:styleId="23">
    <w:name w:val="Revision"/>
    <w:hidden/>
    <w:unhideWhenUsed/>
    <w:qFormat/>
    <w:uiPriority w:val="99"/>
    <w:rPr>
      <w:rFonts w:ascii="仿宋_GB2312" w:eastAsia="仿宋_GB2312" w:hAnsiTheme="minorHAnsi" w:cstheme="minorBidi"/>
      <w:kern w:val="2"/>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2945</Words>
  <Characters>3069</Characters>
  <Lines>34</Lines>
  <Paragraphs>9</Paragraphs>
  <TotalTime>1671</TotalTime>
  <ScaleCrop>false</ScaleCrop>
  <LinksUpToDate>false</LinksUpToDate>
  <CharactersWithSpaces>3069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2024-11-03T10:08:00Z</dcterms:created>
  <dc:creator>赵帅</dc:creator>
  <cp:lastModifiedBy>王全岩</cp:lastModifiedBy>
  <cp:lastPrinted>2025-03-21T07:22:00Z</cp:lastPrinted>
  <dcterms:modified xsi:type="dcterms:W3CDTF">2025-03-27T08:22:51Z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CD2C522C43A343FB8BEA0BD79DFD7072_13</vt:lpwstr>
  </property>
  <property fmtid="{D5CDD505-2E9C-101B-9397-08002B2CF9AE}" pid="4" name="KSOTemplateDocerSaveRecord">
    <vt:lpwstr>eyJoZGlkIjoiOWU4MjIzYmYzZWE5ZDVkMjZmZGViNjAzMjI5ZjI1NDgiLCJ1c2VySWQiOiI0NzEwNjc1NTEifQ==</vt:lpwstr>
  </property>
</Properties>
</file>